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C023">
      <w:pPr>
        <w:pStyle w:val="2"/>
        <w:spacing w:before="0" w:beforeAutospacing="0" w:after="0" w:afterAutospacing="0" w:line="560" w:lineRule="exact"/>
        <w:jc w:val="both"/>
        <w:rPr>
          <w:rFonts w:ascii="Times New Roman" w:hAnsi="Times New Roman" w:eastAsia="仿宋_GB2312"/>
          <w:sz w:val="32"/>
          <w:szCs w:val="32"/>
        </w:rPr>
      </w:pPr>
    </w:p>
    <w:tbl>
      <w:tblPr>
        <w:tblStyle w:val="3"/>
        <w:tblW w:w="14245" w:type="dxa"/>
        <w:tblInd w:w="-257" w:type="dxa"/>
        <w:tblLayout w:type="fixed"/>
        <w:tblCellMar>
          <w:top w:w="0" w:type="dxa"/>
          <w:left w:w="108" w:type="dxa"/>
          <w:bottom w:w="0" w:type="dxa"/>
          <w:right w:w="108" w:type="dxa"/>
        </w:tblCellMar>
      </w:tblPr>
      <w:tblGrid>
        <w:gridCol w:w="855"/>
        <w:gridCol w:w="1464"/>
        <w:gridCol w:w="1560"/>
        <w:gridCol w:w="5715"/>
        <w:gridCol w:w="1530"/>
        <w:gridCol w:w="1635"/>
        <w:gridCol w:w="1486"/>
      </w:tblGrid>
      <w:tr w14:paraId="15AF4887">
        <w:tblPrEx>
          <w:tblCellMar>
            <w:top w:w="0" w:type="dxa"/>
            <w:left w:w="108" w:type="dxa"/>
            <w:bottom w:w="0" w:type="dxa"/>
            <w:right w:w="108" w:type="dxa"/>
          </w:tblCellMar>
        </w:tblPrEx>
        <w:trPr>
          <w:trHeight w:val="1653" w:hRule="atLeast"/>
        </w:trPr>
        <w:tc>
          <w:tcPr>
            <w:tcW w:w="14245" w:type="dxa"/>
            <w:gridSpan w:val="7"/>
            <w:tcBorders>
              <w:top w:val="nil"/>
              <w:left w:val="nil"/>
              <w:bottom w:val="nil"/>
              <w:right w:val="nil"/>
            </w:tcBorders>
            <w:noWrap/>
            <w:vAlign w:val="center"/>
          </w:tcPr>
          <w:p w14:paraId="27C8EFE5">
            <w:pPr>
              <w:widowControl/>
              <w:spacing w:beforeLines="100" w:afterLines="100"/>
              <w:jc w:val="center"/>
              <w:rPr>
                <w:rFonts w:ascii="Times New Roman" w:hAnsi="Times New Roman" w:eastAsia="方正小标宋_GBK"/>
                <w:color w:val="000000"/>
                <w:kern w:val="0"/>
                <w:sz w:val="44"/>
                <w:szCs w:val="44"/>
                <w:u w:val="single"/>
              </w:rPr>
            </w:pPr>
            <w:r>
              <w:rPr>
                <w:rFonts w:hint="eastAsia" w:ascii="Times New Roman" w:hAnsi="Times New Roman" w:eastAsia="方正小标宋_GBK"/>
                <w:color w:val="000000"/>
                <w:kern w:val="0"/>
                <w:sz w:val="44"/>
                <w:szCs w:val="44"/>
                <w:u w:val="single"/>
                <w:lang w:val="en-US" w:eastAsia="zh-CN"/>
              </w:rPr>
              <w:t>长白县</w:t>
            </w:r>
            <w:r>
              <w:rPr>
                <w:rFonts w:ascii="Times New Roman" w:hAnsi="Times New Roman" w:eastAsia="方正小标宋_GBK"/>
                <w:color w:val="000000"/>
                <w:kern w:val="0"/>
                <w:sz w:val="44"/>
                <w:szCs w:val="44"/>
                <w:u w:val="single"/>
              </w:rPr>
              <w:t>农业农村局</w:t>
            </w:r>
            <w:r>
              <w:rPr>
                <w:rFonts w:ascii="Times New Roman" w:hAnsi="Times New Roman" w:eastAsia="方正小标宋_GBK"/>
                <w:color w:val="000000"/>
                <w:kern w:val="0"/>
                <w:sz w:val="44"/>
                <w:szCs w:val="44"/>
              </w:rPr>
              <w:t>涉企行政检查</w:t>
            </w:r>
            <w:r>
              <w:rPr>
                <w:rFonts w:hint="eastAsia" w:ascii="Times New Roman" w:hAnsi="Times New Roman" w:eastAsia="方正小标宋_GBK"/>
                <w:color w:val="000000"/>
                <w:kern w:val="0"/>
                <w:sz w:val="44"/>
                <w:szCs w:val="44"/>
                <w:lang w:val="en-US" w:eastAsia="zh-CN"/>
              </w:rPr>
              <w:t>事项</w:t>
            </w:r>
            <w:r>
              <w:rPr>
                <w:rFonts w:ascii="Times New Roman" w:hAnsi="Times New Roman" w:eastAsia="方正小标宋_GBK"/>
                <w:color w:val="000000"/>
                <w:kern w:val="0"/>
                <w:sz w:val="44"/>
                <w:szCs w:val="44"/>
              </w:rPr>
              <w:t>清单</w:t>
            </w:r>
          </w:p>
        </w:tc>
      </w:tr>
      <w:tr w14:paraId="1C5332A7">
        <w:tblPrEx>
          <w:tblCellMar>
            <w:top w:w="0" w:type="dxa"/>
            <w:left w:w="108" w:type="dxa"/>
            <w:bottom w:w="0" w:type="dxa"/>
            <w:right w:w="108" w:type="dxa"/>
          </w:tblCellMar>
        </w:tblPrEx>
        <w:trPr>
          <w:trHeight w:val="67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6DC953BA">
            <w:pPr>
              <w:widowControl/>
              <w:jc w:val="center"/>
              <w:rPr>
                <w:rFonts w:ascii="Times New Roman" w:hAnsi="Times New Roman" w:eastAsia="黑体"/>
                <w:kern w:val="0"/>
                <w:sz w:val="24"/>
              </w:rPr>
            </w:pPr>
            <w:r>
              <w:rPr>
                <w:rFonts w:ascii="Times New Roman" w:hAnsi="Times New Roman" w:eastAsia="黑体"/>
                <w:kern w:val="0"/>
                <w:sz w:val="24"/>
              </w:rPr>
              <w:t>序号</w:t>
            </w:r>
          </w:p>
        </w:tc>
        <w:tc>
          <w:tcPr>
            <w:tcW w:w="1464" w:type="dxa"/>
            <w:tcBorders>
              <w:top w:val="single" w:color="auto" w:sz="4" w:space="0"/>
              <w:left w:val="nil"/>
              <w:bottom w:val="single" w:color="auto" w:sz="4" w:space="0"/>
              <w:right w:val="single" w:color="auto" w:sz="4" w:space="0"/>
            </w:tcBorders>
            <w:noWrap/>
            <w:vAlign w:val="center"/>
          </w:tcPr>
          <w:p w14:paraId="1357BBCC">
            <w:pPr>
              <w:widowControl/>
              <w:jc w:val="center"/>
              <w:rPr>
                <w:rFonts w:ascii="Times New Roman" w:hAnsi="Times New Roman" w:eastAsia="黑体"/>
                <w:kern w:val="0"/>
                <w:sz w:val="24"/>
              </w:rPr>
            </w:pPr>
            <w:r>
              <w:rPr>
                <w:rFonts w:ascii="Times New Roman" w:hAnsi="Times New Roman" w:eastAsia="黑体"/>
                <w:kern w:val="0"/>
                <w:sz w:val="24"/>
              </w:rPr>
              <w:t>实施主体</w:t>
            </w:r>
          </w:p>
        </w:tc>
        <w:tc>
          <w:tcPr>
            <w:tcW w:w="1560" w:type="dxa"/>
            <w:tcBorders>
              <w:top w:val="single" w:color="auto" w:sz="4" w:space="0"/>
              <w:left w:val="nil"/>
              <w:bottom w:val="single" w:color="auto" w:sz="4" w:space="0"/>
              <w:right w:val="single" w:color="auto" w:sz="4" w:space="0"/>
            </w:tcBorders>
            <w:noWrap/>
            <w:vAlign w:val="center"/>
          </w:tcPr>
          <w:p w14:paraId="19B7EF24">
            <w:pPr>
              <w:widowControl/>
              <w:jc w:val="center"/>
              <w:rPr>
                <w:rFonts w:ascii="Times New Roman" w:hAnsi="Times New Roman" w:eastAsia="黑体"/>
                <w:kern w:val="0"/>
                <w:sz w:val="24"/>
              </w:rPr>
            </w:pPr>
            <w:r>
              <w:rPr>
                <w:rFonts w:ascii="Times New Roman" w:hAnsi="Times New Roman" w:eastAsia="黑体"/>
                <w:kern w:val="0"/>
                <w:sz w:val="24"/>
              </w:rPr>
              <w:t>检查事项</w:t>
            </w:r>
          </w:p>
        </w:tc>
        <w:tc>
          <w:tcPr>
            <w:tcW w:w="5715" w:type="dxa"/>
            <w:tcBorders>
              <w:top w:val="single" w:color="auto" w:sz="4" w:space="0"/>
              <w:left w:val="nil"/>
              <w:bottom w:val="single" w:color="auto" w:sz="4" w:space="0"/>
              <w:right w:val="single" w:color="auto" w:sz="4" w:space="0"/>
            </w:tcBorders>
            <w:noWrap/>
            <w:vAlign w:val="center"/>
          </w:tcPr>
          <w:p w14:paraId="1482CC66">
            <w:pPr>
              <w:widowControl/>
              <w:jc w:val="center"/>
              <w:rPr>
                <w:rFonts w:ascii="Times New Roman" w:hAnsi="Times New Roman" w:eastAsia="黑体"/>
                <w:kern w:val="0"/>
                <w:sz w:val="24"/>
              </w:rPr>
            </w:pPr>
            <w:r>
              <w:rPr>
                <w:rFonts w:ascii="Times New Roman" w:hAnsi="Times New Roman" w:eastAsia="黑体"/>
                <w:kern w:val="0"/>
                <w:sz w:val="24"/>
              </w:rPr>
              <w:t>检查依据</w:t>
            </w:r>
          </w:p>
        </w:tc>
        <w:tc>
          <w:tcPr>
            <w:tcW w:w="1530" w:type="dxa"/>
            <w:tcBorders>
              <w:top w:val="single" w:color="auto" w:sz="4" w:space="0"/>
              <w:left w:val="nil"/>
              <w:bottom w:val="single" w:color="auto" w:sz="4" w:space="0"/>
              <w:right w:val="single" w:color="auto" w:sz="4" w:space="0"/>
            </w:tcBorders>
            <w:noWrap/>
            <w:vAlign w:val="center"/>
          </w:tcPr>
          <w:p w14:paraId="21488C16">
            <w:pPr>
              <w:widowControl/>
              <w:jc w:val="center"/>
              <w:rPr>
                <w:rFonts w:ascii="Times New Roman" w:hAnsi="Times New Roman" w:eastAsia="黑体"/>
                <w:kern w:val="0"/>
                <w:sz w:val="24"/>
              </w:rPr>
            </w:pPr>
            <w:r>
              <w:rPr>
                <w:rFonts w:ascii="Times New Roman" w:hAnsi="Times New Roman" w:eastAsia="黑体"/>
                <w:kern w:val="0"/>
                <w:sz w:val="24"/>
              </w:rPr>
              <w:t>内容与方式</w:t>
            </w:r>
          </w:p>
        </w:tc>
        <w:tc>
          <w:tcPr>
            <w:tcW w:w="1635" w:type="dxa"/>
            <w:tcBorders>
              <w:top w:val="single" w:color="auto" w:sz="4" w:space="0"/>
              <w:left w:val="nil"/>
              <w:bottom w:val="single" w:color="auto" w:sz="4" w:space="0"/>
              <w:right w:val="single" w:color="auto" w:sz="4" w:space="0"/>
            </w:tcBorders>
            <w:noWrap/>
            <w:vAlign w:val="center"/>
          </w:tcPr>
          <w:p w14:paraId="2EF1FFBC">
            <w:pPr>
              <w:widowControl/>
              <w:jc w:val="center"/>
              <w:rPr>
                <w:rFonts w:ascii="Times New Roman" w:hAnsi="Times New Roman" w:eastAsia="黑体"/>
                <w:kern w:val="0"/>
                <w:sz w:val="24"/>
              </w:rPr>
            </w:pPr>
            <w:r>
              <w:rPr>
                <w:rFonts w:ascii="Times New Roman" w:hAnsi="Times New Roman" w:eastAsia="黑体"/>
                <w:kern w:val="0"/>
                <w:sz w:val="24"/>
              </w:rPr>
              <w:t>检查项目</w:t>
            </w:r>
          </w:p>
        </w:tc>
        <w:tc>
          <w:tcPr>
            <w:tcW w:w="1486" w:type="dxa"/>
            <w:tcBorders>
              <w:top w:val="single" w:color="auto" w:sz="4" w:space="0"/>
              <w:left w:val="nil"/>
              <w:bottom w:val="single" w:color="auto" w:sz="4" w:space="0"/>
              <w:right w:val="single" w:color="auto" w:sz="4" w:space="0"/>
            </w:tcBorders>
            <w:noWrap/>
            <w:vAlign w:val="center"/>
          </w:tcPr>
          <w:p w14:paraId="6B410EF6">
            <w:pPr>
              <w:widowControl/>
              <w:jc w:val="center"/>
              <w:rPr>
                <w:rFonts w:ascii="Times New Roman" w:hAnsi="Times New Roman" w:eastAsia="黑体"/>
                <w:kern w:val="0"/>
                <w:sz w:val="24"/>
              </w:rPr>
            </w:pPr>
            <w:r>
              <w:rPr>
                <w:rFonts w:ascii="Times New Roman" w:hAnsi="Times New Roman" w:eastAsia="黑体"/>
                <w:kern w:val="0"/>
                <w:sz w:val="24"/>
              </w:rPr>
              <w:t>合规标准</w:t>
            </w:r>
          </w:p>
        </w:tc>
      </w:tr>
      <w:tr w14:paraId="2A41BCD3">
        <w:tblPrEx>
          <w:tblCellMar>
            <w:top w:w="0" w:type="dxa"/>
            <w:left w:w="108" w:type="dxa"/>
            <w:bottom w:w="0" w:type="dxa"/>
            <w:right w:w="108" w:type="dxa"/>
          </w:tblCellMar>
        </w:tblPrEx>
        <w:trPr>
          <w:trHeight w:val="4708"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30E635AE">
            <w:pPr>
              <w:widowControl/>
              <w:kinsoku w:val="0"/>
              <w:autoSpaceDE w:val="0"/>
              <w:autoSpaceDN w:val="0"/>
              <w:adjustRightInd w:val="0"/>
              <w:snapToGrid w:val="0"/>
              <w:spacing w:line="240" w:lineRule="exact"/>
              <w:jc w:val="center"/>
              <w:textAlignment w:val="baseline"/>
              <w:rPr>
                <w:rFonts w:ascii="宋体" w:hAnsi="宋体" w:cs="宋体"/>
                <w:snapToGrid w:val="0"/>
                <w:color w:val="FF0000"/>
                <w:kern w:val="0"/>
                <w:sz w:val="18"/>
                <w:szCs w:val="18"/>
                <w:lang w:eastAsia="en-US"/>
              </w:rPr>
            </w:pPr>
            <w:r>
              <w:rPr>
                <w:rFonts w:hint="eastAsia" w:ascii="宋体" w:hAnsi="宋体" w:cs="宋体"/>
                <w:snapToGrid w:val="0"/>
                <w:color w:val="FF0000"/>
                <w:kern w:val="0"/>
                <w:sz w:val="18"/>
                <w:szCs w:val="18"/>
                <w:lang w:eastAsia="en-US"/>
              </w:rPr>
              <w:t>1</w:t>
            </w:r>
            <w:r>
              <w:rPr>
                <w:rFonts w:ascii="宋体" w:hAnsi="宋体" w:cs="宋体"/>
                <w:snapToGrid w:val="0"/>
                <w:color w:val="FF0000"/>
                <w:kern w:val="0"/>
                <w:sz w:val="18"/>
                <w:szCs w:val="18"/>
                <w:lang w:eastAsia="en-US"/>
              </w:rPr>
              <w:t>　</w:t>
            </w:r>
          </w:p>
        </w:tc>
        <w:tc>
          <w:tcPr>
            <w:tcW w:w="1464" w:type="dxa"/>
            <w:tcBorders>
              <w:top w:val="single" w:color="auto" w:sz="4" w:space="0"/>
              <w:left w:val="single" w:color="auto" w:sz="4" w:space="0"/>
              <w:bottom w:val="single" w:color="auto" w:sz="4" w:space="0"/>
              <w:right w:val="single" w:color="auto" w:sz="4" w:space="0"/>
            </w:tcBorders>
            <w:noWrap/>
            <w:vAlign w:val="center"/>
          </w:tcPr>
          <w:p w14:paraId="0808C818">
            <w:pPr>
              <w:widowControl/>
              <w:jc w:val="center"/>
              <w:rPr>
                <w:rFonts w:ascii="Times New Roman" w:hAnsi="Times New Roman" w:eastAsia="仿宋_GB2312"/>
                <w:color w:val="000000"/>
                <w:kern w:val="0"/>
                <w:sz w:val="18"/>
                <w:szCs w:val="18"/>
              </w:rPr>
            </w:pPr>
            <w:r>
              <w:rPr>
                <w:rFonts w:hint="eastAsia" w:ascii="宋体" w:hAnsi="宋体" w:cs="宋体"/>
                <w:snapToGrid w:val="0"/>
                <w:color w:val="000000"/>
                <w:kern w:val="0"/>
                <w:sz w:val="18"/>
                <w:szCs w:val="18"/>
                <w:lang w:val="en-US" w:eastAsia="zh-CN"/>
              </w:rPr>
              <w:t>长白县</w:t>
            </w:r>
            <w:r>
              <w:rPr>
                <w:rFonts w:ascii="宋体" w:hAnsi="宋体" w:cs="宋体"/>
                <w:snapToGrid w:val="0"/>
                <w:color w:val="000000"/>
                <w:kern w:val="0"/>
                <w:sz w:val="18"/>
                <w:szCs w:val="18"/>
              </w:rPr>
              <w:t>农业农村局</w:t>
            </w:r>
            <w:r>
              <w:rPr>
                <w:rFonts w:ascii="Times New Roman" w:hAnsi="Times New Roman" w:eastAsia="仿宋_GB2312"/>
                <w:color w:val="000000"/>
                <w:kern w:val="0"/>
                <w:sz w:val="18"/>
                <w:szCs w:val="18"/>
              </w:rPr>
              <w:t>　</w:t>
            </w:r>
          </w:p>
        </w:tc>
        <w:tc>
          <w:tcPr>
            <w:tcW w:w="1560" w:type="dxa"/>
            <w:tcBorders>
              <w:top w:val="single" w:color="auto" w:sz="4" w:space="0"/>
              <w:left w:val="single" w:color="auto" w:sz="4" w:space="0"/>
              <w:bottom w:val="single" w:color="auto" w:sz="4" w:space="0"/>
              <w:right w:val="single" w:color="auto" w:sz="4" w:space="0"/>
            </w:tcBorders>
            <w:noWrap/>
            <w:vAlign w:val="center"/>
          </w:tcPr>
          <w:p w14:paraId="2C5136A3">
            <w:pPr>
              <w:spacing w:line="240" w:lineRule="exact"/>
              <w:jc w:val="center"/>
              <w:rPr>
                <w:rFonts w:ascii="宋体" w:hAnsi="宋体" w:cs="宋体"/>
                <w:sz w:val="18"/>
                <w:szCs w:val="18"/>
              </w:rPr>
            </w:pPr>
            <w:r>
              <w:rPr>
                <w:rFonts w:hint="eastAsia" w:ascii="宋体" w:hAnsi="宋体" w:cs="宋体"/>
                <w:sz w:val="18"/>
                <w:szCs w:val="18"/>
              </w:rPr>
              <w:t>农药生产经营使用监督检查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36122765">
            <w:pPr>
              <w:spacing w:line="240" w:lineRule="exact"/>
              <w:jc w:val="left"/>
              <w:rPr>
                <w:rFonts w:ascii="宋体" w:hAnsi="宋体" w:cs="宋体"/>
                <w:sz w:val="18"/>
                <w:szCs w:val="18"/>
              </w:rPr>
            </w:pPr>
            <w:r>
              <w:rPr>
                <w:rFonts w:hint="eastAsia" w:ascii="宋体" w:hAnsi="宋体" w:cs="宋体"/>
                <w:sz w:val="18"/>
                <w:szCs w:val="18"/>
              </w:rPr>
              <w:t>1.《农药管理条例》第三条第二款：县级以上地方人民政府农业主管部门负责本行政区域的农药监督管理工作。</w:t>
            </w:r>
          </w:p>
          <w:p w14:paraId="03733EDA">
            <w:pPr>
              <w:spacing w:line="240" w:lineRule="exact"/>
              <w:jc w:val="left"/>
              <w:rPr>
                <w:rFonts w:ascii="宋体" w:hAnsi="宋体" w:cs="宋体"/>
                <w:sz w:val="18"/>
                <w:szCs w:val="18"/>
              </w:rPr>
            </w:pPr>
            <w:r>
              <w:rPr>
                <w:rFonts w:hint="eastAsia" w:ascii="宋体" w:hAnsi="宋体" w:cs="宋体"/>
                <w:sz w:val="18"/>
                <w:szCs w:val="18"/>
              </w:rPr>
              <w:t>2.《农药管理条例》第四十一条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p w14:paraId="7A417CB8">
            <w:pPr>
              <w:spacing w:line="240" w:lineRule="exact"/>
              <w:jc w:val="left"/>
              <w:rPr>
                <w:rFonts w:ascii="宋体" w:hAnsi="宋体" w:cs="宋体"/>
                <w:sz w:val="18"/>
                <w:szCs w:val="18"/>
              </w:rPr>
            </w:pPr>
            <w:r>
              <w:rPr>
                <w:rFonts w:hint="eastAsia" w:ascii="宋体" w:hAnsi="宋体" w:cs="宋体"/>
                <w:sz w:val="18"/>
                <w:szCs w:val="18"/>
              </w:rPr>
              <w:t>3.《中华人民共和国农产品质量安全法》第二十一条：县级以上地方人民政府农业农村主管部门应当会同同级生态环境、自然资源等部门按照保障农产品质量安全的要求，根据农产品品种特性和产地安全调查、监测、评价结果，依照土壤污染防治等法律、法规的规定提出划定特定农产品禁止生产区域的建议，报本级人民政府批准后实施。任何单位和个人不得在特定农产品禁止生产区域种植、养殖、捕捞、采集特定农产品和建立特定农产品生产基地。特定农产品禁止生产区域划定和管理的具体办法由国务院农业农村主管部门商国务院生态环境、自然资源等部门制定。</w:t>
            </w:r>
          </w:p>
        </w:tc>
        <w:tc>
          <w:tcPr>
            <w:tcW w:w="1530" w:type="dxa"/>
            <w:tcBorders>
              <w:top w:val="single" w:color="auto" w:sz="4" w:space="0"/>
              <w:left w:val="single" w:color="auto" w:sz="4" w:space="0"/>
              <w:bottom w:val="single" w:color="auto" w:sz="4" w:space="0"/>
              <w:right w:val="single" w:color="auto" w:sz="4" w:space="0"/>
            </w:tcBorders>
            <w:noWrap/>
            <w:vAlign w:val="center"/>
          </w:tcPr>
          <w:p w14:paraId="537EDD5B">
            <w:pPr>
              <w:widowControl/>
              <w:jc w:val="left"/>
              <w:rPr>
                <w:rFonts w:ascii="Times New Roman" w:hAnsi="Times New Roman" w:eastAsia="仿宋_GB2312"/>
                <w:color w:val="000000"/>
                <w:kern w:val="0"/>
                <w:sz w:val="18"/>
                <w:szCs w:val="18"/>
              </w:rPr>
            </w:pPr>
            <w:r>
              <w:rPr>
                <w:rFonts w:hint="eastAsia" w:ascii="宋体" w:hAnsi="宋体" w:cs="宋体"/>
                <w:sz w:val="18"/>
                <w:szCs w:val="18"/>
              </w:rPr>
              <w:t>内容：农药许可证经营范围；经营场所、仓库分类存放及管理；农药进货销售台账记录情况；限制使用农药存储、销售台账；科学指导用药。农药安全生产、仓储安全管理等事项。方式：</w:t>
            </w:r>
            <w:r>
              <w:rPr>
                <w:rFonts w:ascii="宋体" w:hAnsi="宋体" w:cs="宋体"/>
                <w:sz w:val="18"/>
                <w:szCs w:val="18"/>
              </w:rPr>
              <w:t>现场检查，抽样检测</w:t>
            </w:r>
            <w:r>
              <w:rPr>
                <w:rFonts w:ascii="Times New Roman" w:hAnsi="Times New Roman" w:eastAsia="仿宋_GB2312"/>
                <w:color w:val="000000"/>
                <w:kern w:val="0"/>
                <w:sz w:val="18"/>
                <w:szCs w:val="18"/>
              </w:rPr>
              <w:t>　</w:t>
            </w:r>
          </w:p>
        </w:tc>
        <w:tc>
          <w:tcPr>
            <w:tcW w:w="1635" w:type="dxa"/>
            <w:tcBorders>
              <w:top w:val="single" w:color="auto" w:sz="4" w:space="0"/>
              <w:left w:val="single" w:color="auto" w:sz="4" w:space="0"/>
              <w:bottom w:val="single" w:color="auto" w:sz="4" w:space="0"/>
              <w:right w:val="single" w:color="auto" w:sz="4" w:space="0"/>
            </w:tcBorders>
            <w:noWrap/>
            <w:vAlign w:val="center"/>
          </w:tcPr>
          <w:p w14:paraId="50459A30">
            <w:pPr>
              <w:widowControl/>
              <w:jc w:val="left"/>
              <w:rPr>
                <w:rFonts w:ascii="Times New Roman" w:hAnsi="Times New Roman" w:eastAsia="仿宋_GB2312"/>
                <w:color w:val="000000"/>
                <w:kern w:val="0"/>
                <w:sz w:val="18"/>
                <w:szCs w:val="18"/>
              </w:rPr>
            </w:pPr>
            <w:r>
              <w:rPr>
                <w:rFonts w:hint="eastAsia" w:ascii="宋体" w:hAnsi="宋体" w:cs="宋体"/>
                <w:sz w:val="18"/>
                <w:szCs w:val="18"/>
              </w:rPr>
              <w:t>农药标签、农药许可证件、农药生产原料进货出厂销售记录、农药经营购销台账等</w:t>
            </w:r>
            <w:r>
              <w:rPr>
                <w:rFonts w:ascii="Times New Roman" w:hAnsi="Times New Roman" w:eastAsia="仿宋_GB2312"/>
                <w:color w:val="000000"/>
                <w:kern w:val="0"/>
                <w:sz w:val="18"/>
                <w:szCs w:val="18"/>
              </w:rPr>
              <w:t>　</w:t>
            </w:r>
          </w:p>
        </w:tc>
        <w:tc>
          <w:tcPr>
            <w:tcW w:w="1486" w:type="dxa"/>
            <w:tcBorders>
              <w:top w:val="single" w:color="auto" w:sz="4" w:space="0"/>
              <w:left w:val="single" w:color="auto" w:sz="4" w:space="0"/>
              <w:bottom w:val="single" w:color="auto" w:sz="4" w:space="0"/>
              <w:right w:val="single" w:color="auto" w:sz="4" w:space="0"/>
            </w:tcBorders>
            <w:noWrap/>
            <w:vAlign w:val="center"/>
          </w:tcPr>
          <w:p w14:paraId="46803369">
            <w:pPr>
              <w:widowControl/>
              <w:jc w:val="left"/>
              <w:rPr>
                <w:rFonts w:ascii="Times New Roman" w:hAnsi="Times New Roman" w:eastAsia="仿宋_GB2312"/>
                <w:color w:val="000000"/>
                <w:kern w:val="0"/>
                <w:sz w:val="18"/>
                <w:szCs w:val="18"/>
              </w:rPr>
            </w:pPr>
            <w:r>
              <w:rPr>
                <w:rFonts w:hint="eastAsia" w:ascii="宋体" w:hAnsi="宋体" w:cs="宋体"/>
                <w:sz w:val="18"/>
                <w:szCs w:val="18"/>
              </w:rPr>
              <w:t>按照经营许可范围合法合规经营；台账资料齐全；仓储设施设备完善；具有植保相关知识，科学指导用药。安全生产及管理制度完善。</w:t>
            </w:r>
            <w:r>
              <w:rPr>
                <w:rFonts w:ascii="Times New Roman" w:hAnsi="Times New Roman" w:eastAsia="仿宋_GB2312"/>
                <w:color w:val="000000"/>
                <w:kern w:val="0"/>
                <w:sz w:val="18"/>
                <w:szCs w:val="18"/>
              </w:rPr>
              <w:t>　</w:t>
            </w:r>
          </w:p>
        </w:tc>
      </w:tr>
      <w:tr w14:paraId="5D4604F7">
        <w:tblPrEx>
          <w:tblCellMar>
            <w:top w:w="0" w:type="dxa"/>
            <w:left w:w="108" w:type="dxa"/>
            <w:bottom w:w="0" w:type="dxa"/>
            <w:right w:w="108" w:type="dxa"/>
          </w:tblCellMar>
        </w:tblPrEx>
        <w:trPr>
          <w:trHeight w:val="2230"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21B43205">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2　</w:t>
            </w:r>
          </w:p>
        </w:tc>
        <w:tc>
          <w:tcPr>
            <w:tcW w:w="1464" w:type="dxa"/>
            <w:tcBorders>
              <w:top w:val="single" w:color="auto" w:sz="4" w:space="0"/>
              <w:left w:val="single" w:color="auto" w:sz="4" w:space="0"/>
              <w:bottom w:val="single" w:color="auto" w:sz="4" w:space="0"/>
              <w:right w:val="single" w:color="auto" w:sz="4" w:space="0"/>
            </w:tcBorders>
            <w:noWrap/>
            <w:vAlign w:val="center"/>
          </w:tcPr>
          <w:p w14:paraId="7AD888BB">
            <w:pPr>
              <w:spacing w:line="240" w:lineRule="exact"/>
              <w:jc w:val="center"/>
              <w:rPr>
                <w:rFonts w:hint="eastAsia" w:ascii="宋体" w:hAnsi="宋体" w:cs="宋体"/>
                <w:sz w:val="18"/>
                <w:szCs w:val="18"/>
              </w:rPr>
            </w:pPr>
            <w:r>
              <w:rPr>
                <w:rFonts w:hint="eastAsia" w:ascii="宋体" w:hAnsi="宋体" w:cs="宋体"/>
                <w:sz w:val="18"/>
                <w:szCs w:val="18"/>
                <w:lang w:val="en-US" w:eastAsia="zh-CN"/>
              </w:rPr>
              <w:t>长白县</w:t>
            </w:r>
            <w:r>
              <w:rPr>
                <w:rFonts w:hint="eastAsia" w:ascii="宋体" w:hAnsi="宋体" w:cs="宋体"/>
                <w:sz w:val="18"/>
                <w:szCs w:val="18"/>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56B34576">
            <w:pPr>
              <w:spacing w:line="240" w:lineRule="exact"/>
              <w:jc w:val="center"/>
              <w:rPr>
                <w:rFonts w:hint="eastAsia" w:ascii="宋体" w:hAnsi="宋体" w:cs="宋体"/>
                <w:sz w:val="18"/>
                <w:szCs w:val="18"/>
              </w:rPr>
            </w:pPr>
            <w:r>
              <w:rPr>
                <w:rFonts w:hint="eastAsia" w:ascii="宋体" w:hAnsi="宋体" w:cs="宋体"/>
                <w:sz w:val="18"/>
                <w:szCs w:val="18"/>
              </w:rPr>
              <w:t>　登记肥料生产、经营和使用监督抽查　</w:t>
            </w:r>
          </w:p>
        </w:tc>
        <w:tc>
          <w:tcPr>
            <w:tcW w:w="5715" w:type="dxa"/>
            <w:tcBorders>
              <w:top w:val="single" w:color="auto" w:sz="4" w:space="0"/>
              <w:left w:val="single" w:color="auto" w:sz="4" w:space="0"/>
              <w:bottom w:val="single" w:color="auto" w:sz="4" w:space="0"/>
              <w:right w:val="single" w:color="auto" w:sz="4" w:space="0"/>
            </w:tcBorders>
            <w:noWrap/>
            <w:vAlign w:val="center"/>
          </w:tcPr>
          <w:p w14:paraId="7B9EC4F8">
            <w:pPr>
              <w:spacing w:line="240" w:lineRule="exact"/>
              <w:jc w:val="left"/>
              <w:rPr>
                <w:rFonts w:hint="eastAsia" w:ascii="宋体" w:hAnsi="宋体" w:cs="宋体"/>
                <w:sz w:val="18"/>
                <w:szCs w:val="18"/>
              </w:rPr>
            </w:pPr>
            <w:r>
              <w:rPr>
                <w:rFonts w:hint="eastAsia" w:ascii="宋体" w:hAnsi="宋体" w:cs="宋体"/>
                <w:sz w:val="18"/>
                <w:szCs w:val="18"/>
              </w:rPr>
              <w:t>1.《肥料登记管理办法》第六条第三款：县级以上地方人民政府农业农村主管部门负责本行政区域内的肥料监督管理工作。</w:t>
            </w:r>
          </w:p>
          <w:p w14:paraId="06EF63CD">
            <w:pPr>
              <w:spacing w:line="240" w:lineRule="exact"/>
              <w:jc w:val="left"/>
              <w:rPr>
                <w:rFonts w:hint="eastAsia" w:ascii="宋体" w:hAnsi="宋体" w:cs="宋体"/>
                <w:sz w:val="18"/>
                <w:szCs w:val="18"/>
              </w:rPr>
            </w:pPr>
            <w:r>
              <w:rPr>
                <w:rFonts w:hint="eastAsia" w:ascii="宋体" w:hAnsi="宋体" w:cs="宋体"/>
                <w:sz w:val="18"/>
                <w:szCs w:val="18"/>
              </w:rPr>
              <w:t>2.《肥料登记管理办法》第二十四条：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　</w:t>
            </w:r>
          </w:p>
        </w:tc>
        <w:tc>
          <w:tcPr>
            <w:tcW w:w="1530" w:type="dxa"/>
            <w:tcBorders>
              <w:top w:val="single" w:color="auto" w:sz="4" w:space="0"/>
              <w:left w:val="single" w:color="auto" w:sz="4" w:space="0"/>
              <w:bottom w:val="single" w:color="auto" w:sz="4" w:space="0"/>
              <w:right w:val="single" w:color="auto" w:sz="4" w:space="0"/>
            </w:tcBorders>
            <w:noWrap/>
            <w:vAlign w:val="center"/>
          </w:tcPr>
          <w:p w14:paraId="2E018DFF">
            <w:pPr>
              <w:spacing w:line="240" w:lineRule="exact"/>
              <w:jc w:val="center"/>
              <w:rPr>
                <w:rFonts w:hint="eastAsia" w:ascii="宋体" w:hAnsi="宋体" w:cs="宋体"/>
                <w:sz w:val="18"/>
                <w:szCs w:val="18"/>
              </w:rPr>
            </w:pPr>
            <w:r>
              <w:rPr>
                <w:rFonts w:hint="eastAsia" w:ascii="宋体" w:hAnsi="宋体" w:cs="宋体"/>
                <w:sz w:val="18"/>
                <w:szCs w:val="18"/>
              </w:rPr>
              <w:t>内容：肥料登记证；产品包装标识；企业生产经营等台账资料；肥料登记管理和肥料原料库存安全管理等事项。</w:t>
            </w:r>
          </w:p>
          <w:p w14:paraId="149AC9B2">
            <w:pPr>
              <w:spacing w:line="240" w:lineRule="exact"/>
              <w:jc w:val="center"/>
              <w:rPr>
                <w:rFonts w:hint="eastAsia" w:ascii="宋体" w:hAnsi="宋体" w:cs="宋体"/>
                <w:sz w:val="18"/>
                <w:szCs w:val="18"/>
              </w:rPr>
            </w:pPr>
            <w:r>
              <w:rPr>
                <w:rFonts w:hint="eastAsia" w:ascii="宋体" w:hAnsi="宋体" w:cs="宋体"/>
                <w:sz w:val="18"/>
                <w:szCs w:val="18"/>
              </w:rPr>
              <w:t>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0F3796F8">
            <w:pPr>
              <w:spacing w:line="240" w:lineRule="exact"/>
              <w:jc w:val="left"/>
              <w:rPr>
                <w:rFonts w:hint="eastAsia" w:ascii="宋体" w:hAnsi="宋体" w:cs="宋体"/>
                <w:sz w:val="18"/>
                <w:szCs w:val="18"/>
              </w:rPr>
            </w:pPr>
            <w:r>
              <w:rPr>
                <w:rFonts w:hint="eastAsia" w:ascii="宋体" w:hAnsi="宋体" w:cs="宋体"/>
                <w:sz w:val="18"/>
                <w:szCs w:val="18"/>
              </w:rPr>
              <w:t>包装标签、登记证号，原料与登记一致性、企业生产条件等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60E395EB">
            <w:pPr>
              <w:spacing w:line="240" w:lineRule="exact"/>
              <w:jc w:val="center"/>
              <w:rPr>
                <w:rFonts w:hint="eastAsia" w:ascii="宋体" w:hAnsi="宋体" w:cs="宋体"/>
                <w:sz w:val="18"/>
                <w:szCs w:val="18"/>
              </w:rPr>
            </w:pPr>
            <w:r>
              <w:rPr>
                <w:rFonts w:hint="eastAsia" w:ascii="宋体" w:hAnsi="宋体" w:cs="宋体"/>
                <w:sz w:val="18"/>
                <w:szCs w:val="18"/>
              </w:rPr>
              <w:t>按登记许可要求从事生产经营；安全管理制度完善；产品符合要求，合法合规。　</w:t>
            </w:r>
          </w:p>
        </w:tc>
      </w:tr>
      <w:tr w14:paraId="39ABE9C2">
        <w:tblPrEx>
          <w:tblCellMar>
            <w:top w:w="0" w:type="dxa"/>
            <w:left w:w="108" w:type="dxa"/>
            <w:bottom w:w="0" w:type="dxa"/>
            <w:right w:w="108" w:type="dxa"/>
          </w:tblCellMar>
        </w:tblPrEx>
        <w:trPr>
          <w:trHeight w:val="3515"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1E02D581">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1464" w:type="dxa"/>
            <w:tcBorders>
              <w:top w:val="single" w:color="auto" w:sz="4" w:space="0"/>
              <w:left w:val="single" w:color="auto" w:sz="4" w:space="0"/>
              <w:bottom w:val="single" w:color="auto" w:sz="4" w:space="0"/>
              <w:right w:val="single" w:color="auto" w:sz="4" w:space="0"/>
            </w:tcBorders>
            <w:noWrap/>
            <w:vAlign w:val="center"/>
          </w:tcPr>
          <w:p w14:paraId="1FB0747E">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01E7C4C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农作物种子生产经营检查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0BEC3B61">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种子法》第四十六条：农业农村、林业草原主管部门应当加强对种子质量的监督检查。种子质量管理办法、行业标准和检验方法，由国务院农业农村、林业草原主管部门制定。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14:paraId="2FC9963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中华人民共和国种子法》第四十九条：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tc>
        <w:tc>
          <w:tcPr>
            <w:tcW w:w="1530" w:type="dxa"/>
            <w:tcBorders>
              <w:top w:val="single" w:color="auto" w:sz="4" w:space="0"/>
              <w:left w:val="single" w:color="auto" w:sz="4" w:space="0"/>
              <w:bottom w:val="single" w:color="auto" w:sz="4" w:space="0"/>
              <w:right w:val="single" w:color="auto" w:sz="4" w:space="0"/>
            </w:tcBorders>
            <w:noWrap/>
            <w:vAlign w:val="center"/>
          </w:tcPr>
          <w:p w14:paraId="28241963">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内容：按照经营许可范围合法合规经营；按规定查阅、复制有关合同、票据、账簿、生产经营档案及其他有关资料等。</w:t>
            </w:r>
          </w:p>
          <w:p w14:paraId="18869CAE">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方式：现场检查，抽样检测</w:t>
            </w:r>
          </w:p>
        </w:tc>
        <w:tc>
          <w:tcPr>
            <w:tcW w:w="1635" w:type="dxa"/>
            <w:tcBorders>
              <w:top w:val="single" w:color="auto" w:sz="4" w:space="0"/>
              <w:left w:val="single" w:color="auto" w:sz="4" w:space="0"/>
              <w:bottom w:val="single" w:color="auto" w:sz="4" w:space="0"/>
              <w:right w:val="single" w:color="auto" w:sz="4" w:space="0"/>
            </w:tcBorders>
            <w:noWrap/>
            <w:vAlign w:val="center"/>
          </w:tcPr>
          <w:p w14:paraId="1826CF58">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生产经营许可、品种审定、品种权授权、标签和使用说明，经营主体备案，生产经营档案，农作物种子质量等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73556502">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符合《中华人民共和国种子法》等法律法规</w:t>
            </w:r>
          </w:p>
        </w:tc>
      </w:tr>
      <w:tr w14:paraId="1AE9CD59">
        <w:tblPrEx>
          <w:tblCellMar>
            <w:top w:w="0" w:type="dxa"/>
            <w:left w:w="108" w:type="dxa"/>
            <w:bottom w:w="0" w:type="dxa"/>
            <w:right w:w="108" w:type="dxa"/>
          </w:tblCellMar>
        </w:tblPrEx>
        <w:trPr>
          <w:trHeight w:val="3220"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778A7279">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1464" w:type="dxa"/>
            <w:tcBorders>
              <w:top w:val="single" w:color="auto" w:sz="4" w:space="0"/>
              <w:left w:val="single" w:color="auto" w:sz="4" w:space="0"/>
              <w:bottom w:val="single" w:color="auto" w:sz="4" w:space="0"/>
              <w:right w:val="single" w:color="auto" w:sz="4" w:space="0"/>
            </w:tcBorders>
            <w:noWrap/>
            <w:vAlign w:val="center"/>
          </w:tcPr>
          <w:p w14:paraId="020B3678">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4DDCDD1B">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农业转基因生物安全行政检查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200FB849">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1.《农业转基因生物安全管理条例》第四条第二款：县级以上地方各级人民政府农业行政主管部门负责本行政区域内的农业转基因生物安全的监督管理工作。</w:t>
            </w:r>
          </w:p>
          <w:p w14:paraId="68A2D57E">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农业转基因生物安全管理条例》第三十八条：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tc>
        <w:tc>
          <w:tcPr>
            <w:tcW w:w="1530" w:type="dxa"/>
            <w:tcBorders>
              <w:top w:val="single" w:color="auto" w:sz="4" w:space="0"/>
              <w:left w:val="single" w:color="auto" w:sz="4" w:space="0"/>
              <w:bottom w:val="single" w:color="auto" w:sz="4" w:space="0"/>
              <w:right w:val="single" w:color="auto" w:sz="4" w:space="0"/>
            </w:tcBorders>
            <w:noWrap/>
            <w:vAlign w:val="center"/>
          </w:tcPr>
          <w:p w14:paraId="518F0056">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内容：从事农业转基因生物进口、加工情况；转基因产品标识情况；进口转基因生物原料的批准、贸易情况及安全控制措施等。方式：现场检查。</w:t>
            </w:r>
          </w:p>
          <w:p w14:paraId="2224685D">
            <w:pPr>
              <w:spacing w:line="240" w:lineRule="exact"/>
              <w:jc w:val="center"/>
              <w:rPr>
                <w:rFonts w:hint="eastAsia" w:ascii="宋体" w:hAnsi="宋体" w:cs="宋体"/>
                <w:sz w:val="18"/>
                <w:szCs w:val="18"/>
                <w:lang w:eastAsia="en-US"/>
              </w:rPr>
            </w:pPr>
          </w:p>
        </w:tc>
        <w:tc>
          <w:tcPr>
            <w:tcW w:w="1635" w:type="dxa"/>
            <w:tcBorders>
              <w:top w:val="single" w:color="auto" w:sz="4" w:space="0"/>
              <w:left w:val="single" w:color="auto" w:sz="4" w:space="0"/>
              <w:bottom w:val="single" w:color="auto" w:sz="4" w:space="0"/>
              <w:right w:val="single" w:color="auto" w:sz="4" w:space="0"/>
            </w:tcBorders>
            <w:noWrap/>
            <w:vAlign w:val="center"/>
          </w:tcPr>
          <w:p w14:paraId="3B4AECD3">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农业转基因生物研究、试验、生产、加工、经营和进口、出口活动情况等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4145FC24">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符合《农业转基因生物安全管理条例》等相关法律法规</w:t>
            </w:r>
          </w:p>
        </w:tc>
      </w:tr>
      <w:tr w14:paraId="5BDB106E">
        <w:tblPrEx>
          <w:tblCellMar>
            <w:top w:w="0" w:type="dxa"/>
            <w:left w:w="108" w:type="dxa"/>
            <w:bottom w:w="0" w:type="dxa"/>
            <w:right w:w="108" w:type="dxa"/>
          </w:tblCellMar>
        </w:tblPrEx>
        <w:trPr>
          <w:trHeight w:val="179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49F971E4">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1464" w:type="dxa"/>
            <w:tcBorders>
              <w:top w:val="single" w:color="auto" w:sz="4" w:space="0"/>
              <w:left w:val="single" w:color="auto" w:sz="4" w:space="0"/>
              <w:bottom w:val="single" w:color="auto" w:sz="4" w:space="0"/>
              <w:right w:val="single" w:color="auto" w:sz="4" w:space="0"/>
            </w:tcBorders>
            <w:noWrap/>
            <w:vAlign w:val="center"/>
          </w:tcPr>
          <w:p w14:paraId="264CED32">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4C64DAE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植物检疫监督检查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2FD6003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Theme="minorEastAsia" w:hAnsiTheme="minorEastAsia" w:eastAsiaTheme="minorEastAsia" w:cstheme="minorEastAsia"/>
                <w:i w:val="0"/>
                <w:iCs w:val="0"/>
                <w:caps w:val="0"/>
                <w:color w:val="333333"/>
                <w:spacing w:val="0"/>
                <w:kern w:val="0"/>
                <w:sz w:val="18"/>
                <w:szCs w:val="18"/>
                <w:shd w:val="clear" w:fill="FFFFFF"/>
                <w:lang w:val="en-US" w:eastAsia="zh-CN" w:bidi="ar"/>
              </w:rPr>
            </w:pPr>
            <w:r>
              <w:rPr>
                <w:rFonts w:hint="eastAsia" w:asciiTheme="minorEastAsia" w:hAnsiTheme="minorEastAsia" w:eastAsiaTheme="minorEastAsia" w:cstheme="minorEastAsia"/>
                <w:sz w:val="18"/>
                <w:szCs w:val="18"/>
                <w:lang w:eastAsia="en-US"/>
              </w:rPr>
              <w:t>《吉林省农业植物检疫实施办法》第三条　县级以上人民政府农业行政主管部门主管本行政区域内的农业植物检疫工作，其所属的植物检疫机构负责农业植物检疫具体工作</w:t>
            </w:r>
            <w:r>
              <w:rPr>
                <w:rFonts w:hint="eastAsia" w:asciiTheme="minorEastAsia" w:hAnsiTheme="minorEastAsia" w:eastAsiaTheme="minorEastAsia" w:cstheme="minorEastAsia"/>
                <w:i w:val="0"/>
                <w:iCs w:val="0"/>
                <w:caps w:val="0"/>
                <w:color w:val="333333"/>
                <w:spacing w:val="0"/>
                <w:sz w:val="18"/>
                <w:szCs w:val="18"/>
                <w:shd w:val="clear" w:fill="FFFFFF"/>
                <w:lang w:val="en-US"/>
              </w:rPr>
              <w:t> </w:t>
            </w:r>
            <w:r>
              <w:rPr>
                <w:rFonts w:hint="eastAsia" w:asciiTheme="minorEastAsia" w:hAnsiTheme="minorEastAsia" w:eastAsiaTheme="minorEastAsia" w:cstheme="minorEastAsia"/>
                <w:i w:val="0"/>
                <w:iCs w:val="0"/>
                <w:caps w:val="0"/>
                <w:color w:val="333333"/>
                <w:spacing w:val="0"/>
                <w:kern w:val="0"/>
                <w:sz w:val="18"/>
                <w:szCs w:val="18"/>
                <w:shd w:val="clear" w:fill="FFFFFF"/>
                <w:lang w:val="en-US" w:eastAsia="zh-CN" w:bidi="ar"/>
              </w:rPr>
              <w:t>第七条　植物检疫机构可以派遣检疫人员进入车站、机场、邮局、港口、仓库以及应施检疫的植物、植物产品种植、加工、销售等场所，依法实施现场检疫、复检、查验植物检疫证书及有关资料，进行疫情监测调查、检疫监督，并依照规定提取样品；依法监督有关单位或者个人进行隔离试种和对检疫物进行消毒、除害处理以及对疫情采取封锁、消灭等措施。 </w:t>
            </w:r>
          </w:p>
          <w:p w14:paraId="611F04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ightChars="0"/>
              <w:jc w:val="left"/>
              <w:rPr>
                <w:rFonts w:hint="eastAsia" w:asciiTheme="minorEastAsia" w:hAnsiTheme="minorEastAsia" w:eastAsiaTheme="minorEastAsia" w:cstheme="minorEastAsia"/>
                <w:sz w:val="18"/>
                <w:szCs w:val="18"/>
                <w:lang w:eastAsia="en-US"/>
              </w:rPr>
            </w:pPr>
            <w:r>
              <w:rPr>
                <w:rFonts w:hint="eastAsia" w:asciiTheme="minorEastAsia" w:hAnsiTheme="minorEastAsia" w:eastAsiaTheme="minorEastAsia" w:cstheme="minorEastAsia"/>
                <w:i w:val="0"/>
                <w:iCs w:val="0"/>
                <w:caps w:val="0"/>
                <w:color w:val="333333"/>
                <w:spacing w:val="0"/>
                <w:kern w:val="0"/>
                <w:sz w:val="18"/>
                <w:szCs w:val="18"/>
                <w:shd w:val="clear" w:fill="FFFFFF"/>
                <w:lang w:val="en-US" w:eastAsia="zh-CN" w:bidi="ar"/>
              </w:rPr>
              <w:t xml:space="preserve">  植物检疫人员依法执行检疫任务时，应穿着检疫制服和佩戴检疫标志，铁路、邮电、交通、民航、工商、公安等有关部门和单位应当予以配合。   </w:t>
            </w:r>
            <w:r>
              <w:rPr>
                <w:rFonts w:hint="eastAsia" w:asciiTheme="minorEastAsia" w:hAnsiTheme="minorEastAsia" w:eastAsiaTheme="minorEastAsia" w:cstheme="minorEastAsia"/>
                <w:i w:val="0"/>
                <w:iCs w:val="0"/>
                <w:caps w:val="0"/>
                <w:color w:val="333333"/>
                <w:spacing w:val="0"/>
                <w:sz w:val="18"/>
                <w:szCs w:val="18"/>
                <w:shd w:val="clear" w:fill="FFFFFF"/>
              </w:rPr>
              <w:t>第十六条　各级植物检疫机构应当加强农副产品集贸、批发市场的检疫监督工作。发现植物检疫对象的，货主应当按照植物检疫机构的要求消毒处理，检疫合格后，可以销售；无法消毒处理的禁止销售。</w:t>
            </w:r>
          </w:p>
        </w:tc>
        <w:tc>
          <w:tcPr>
            <w:tcW w:w="1530" w:type="dxa"/>
            <w:tcBorders>
              <w:top w:val="single" w:color="auto" w:sz="4" w:space="0"/>
              <w:left w:val="single" w:color="auto" w:sz="4" w:space="0"/>
              <w:bottom w:val="single" w:color="auto" w:sz="4" w:space="0"/>
              <w:right w:val="single" w:color="auto" w:sz="4" w:space="0"/>
            </w:tcBorders>
            <w:noWrap/>
            <w:vAlign w:val="center"/>
          </w:tcPr>
          <w:p w14:paraId="17089DB2">
            <w:pPr>
              <w:spacing w:line="240" w:lineRule="exact"/>
              <w:jc w:val="center"/>
              <w:rPr>
                <w:rFonts w:hint="eastAsia" w:asciiTheme="minorEastAsia" w:hAnsiTheme="minorEastAsia" w:eastAsiaTheme="minorEastAsia" w:cstheme="minorEastAsia"/>
                <w:sz w:val="18"/>
                <w:szCs w:val="18"/>
                <w:lang w:eastAsia="en-US"/>
              </w:rPr>
            </w:pPr>
            <w:r>
              <w:rPr>
                <w:rFonts w:hint="eastAsia" w:asciiTheme="minorEastAsia" w:hAnsiTheme="minorEastAsia" w:eastAsiaTheme="minorEastAsia" w:cstheme="minorEastAsia"/>
                <w:sz w:val="18"/>
                <w:szCs w:val="18"/>
                <w:lang w:eastAsia="en-US"/>
              </w:rPr>
              <w:t>内容：调运的种子种苗是否携带植物检疫证书，是否有产地检疫合格证。方式：现场检查。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74668E51">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种子、苗木和其他繁殖材料等植物、植物产品的生产、经营、存放等场所，植物检疫证书，台账资料等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15B820B7">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全国植物检疫平台出具的植物检疫证书和产地检疫合格编号</w:t>
            </w:r>
          </w:p>
        </w:tc>
      </w:tr>
      <w:tr w14:paraId="5C828179">
        <w:tblPrEx>
          <w:tblCellMar>
            <w:top w:w="0" w:type="dxa"/>
            <w:left w:w="108" w:type="dxa"/>
            <w:bottom w:w="0" w:type="dxa"/>
            <w:right w:w="108" w:type="dxa"/>
          </w:tblCellMar>
        </w:tblPrEx>
        <w:trPr>
          <w:trHeight w:val="3455"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7939B7DA">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1464" w:type="dxa"/>
            <w:tcBorders>
              <w:top w:val="single" w:color="auto" w:sz="4" w:space="0"/>
              <w:left w:val="single" w:color="auto" w:sz="4" w:space="0"/>
              <w:bottom w:val="single" w:color="auto" w:sz="4" w:space="0"/>
              <w:right w:val="single" w:color="auto" w:sz="4" w:space="0"/>
            </w:tcBorders>
            <w:noWrap/>
            <w:vAlign w:val="center"/>
          </w:tcPr>
          <w:p w14:paraId="45ACD2F0">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5F3D4942">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水生野生动物保护执法监督检查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72088A99">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1.《中华人民共和国野生动物保护法》第七条第二款：县级以上地方人民政府对本行政区域内野生动物保护工作负责，其林业草原、渔业主管部门分别主管本行政区域内陆生、水生野生动物保护工作。</w:t>
            </w:r>
          </w:p>
          <w:p w14:paraId="63E89704">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2.《中华人民共和国野生动物保护法》第三十六条：县级以上人民政府野生动物保护主管部门和其他负有野生动物保护职责的部门，在履行本法规定的职责时，可以采取下列措施：（一）进入与违反野生动物保护管理行为有关的场所进行现场检查、调查；（二）对野生动物进行检验、检测、抽样取证；（三）查封、复制有关文件、资料，对可能被转移、销毁、隐匿或者篡改的文件、资料予以封存；（四）查封、扣押无合法来源证明的野生动物及其制品，查封、扣押涉嫌非法猎捕野生动物或者非法收购、出售、加工、运输猎捕野生动物及其制品的工具、设备或者财物。</w:t>
            </w:r>
          </w:p>
        </w:tc>
        <w:tc>
          <w:tcPr>
            <w:tcW w:w="1530" w:type="dxa"/>
            <w:tcBorders>
              <w:top w:val="single" w:color="auto" w:sz="4" w:space="0"/>
              <w:left w:val="single" w:color="auto" w:sz="4" w:space="0"/>
              <w:bottom w:val="single" w:color="auto" w:sz="4" w:space="0"/>
              <w:right w:val="single" w:color="auto" w:sz="4" w:space="0"/>
            </w:tcBorders>
            <w:noWrap/>
            <w:vAlign w:val="center"/>
          </w:tcPr>
          <w:p w14:paraId="5DD1B97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内容：是否依法取得水生野生动物经营利用及人工繁育许可证。</w:t>
            </w:r>
          </w:p>
          <w:p w14:paraId="4BAB39D6">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48057170">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从事猎捕活动取得特许猎捕证的情况，从事驯养繁殖取得人工繁育许可证的情况，从事经营活动取得经营利用许可证和使用专用标识的情况，从事进出口活动取得经营利用许可证的情况，猎捕、繁育、经营管理、进出口活动是否符合相应的条件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0046FEC2">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执行相关法律、法规的情况</w:t>
            </w:r>
          </w:p>
        </w:tc>
      </w:tr>
      <w:tr w14:paraId="2B1C4D75">
        <w:tblPrEx>
          <w:tblCellMar>
            <w:top w:w="0" w:type="dxa"/>
            <w:left w:w="108" w:type="dxa"/>
            <w:bottom w:w="0" w:type="dxa"/>
            <w:right w:w="108" w:type="dxa"/>
          </w:tblCellMar>
        </w:tblPrEx>
        <w:trPr>
          <w:trHeight w:val="179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2010608C">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1464" w:type="dxa"/>
            <w:tcBorders>
              <w:top w:val="single" w:color="auto" w:sz="4" w:space="0"/>
              <w:left w:val="single" w:color="auto" w:sz="4" w:space="0"/>
              <w:bottom w:val="single" w:color="auto" w:sz="4" w:space="0"/>
              <w:right w:val="single" w:color="auto" w:sz="4" w:space="0"/>
            </w:tcBorders>
            <w:noWrap/>
            <w:vAlign w:val="center"/>
          </w:tcPr>
          <w:p w14:paraId="55D1E114">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2D7D3A0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种畜禽生产经营监督检查　</w:t>
            </w:r>
          </w:p>
        </w:tc>
        <w:tc>
          <w:tcPr>
            <w:tcW w:w="5715" w:type="dxa"/>
            <w:tcBorders>
              <w:top w:val="single" w:color="auto" w:sz="4" w:space="0"/>
              <w:left w:val="single" w:color="auto" w:sz="4" w:space="0"/>
              <w:bottom w:val="single" w:color="auto" w:sz="4" w:space="0"/>
              <w:right w:val="single" w:color="auto" w:sz="4" w:space="0"/>
            </w:tcBorders>
            <w:noWrap/>
            <w:vAlign w:val="center"/>
          </w:tcPr>
          <w:p w14:paraId="68E79C2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1.《中华人民共和国畜牧法》第三十四条：县级以上人民政府农业农村主管部门负责种畜禽质量安全的监督管理工作。种畜禽质量安全的监督检验应当委托具有法定资质的种畜禽质量检验机构进行；所需检验费用由同级预算列支，不得向被检验人收取。</w:t>
            </w:r>
          </w:p>
          <w:p w14:paraId="7990561D">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2.《中华人民共和国畜牧法》第七十一条：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14:paraId="27AC4E97">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3.《中华人民共和国畜牧法》第七十三条：县级以上人民政府农业农村主管部门应当制定畜禽质量安全监督抽查计划，并按照计划开展监督抽查工作。</w:t>
            </w:r>
          </w:p>
          <w:p w14:paraId="7D00CBE4">
            <w:pPr>
              <w:spacing w:line="2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 xml:space="preserve"> </w:t>
            </w:r>
          </w:p>
        </w:tc>
        <w:tc>
          <w:tcPr>
            <w:tcW w:w="1530" w:type="dxa"/>
            <w:tcBorders>
              <w:top w:val="single" w:color="auto" w:sz="4" w:space="0"/>
              <w:left w:val="single" w:color="auto" w:sz="4" w:space="0"/>
              <w:bottom w:val="single" w:color="auto" w:sz="4" w:space="0"/>
              <w:right w:val="single" w:color="auto" w:sz="4" w:space="0"/>
            </w:tcBorders>
            <w:noWrap/>
            <w:vAlign w:val="center"/>
          </w:tcPr>
          <w:p w14:paraId="2078D675">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内容：规划布局情况、生产经营情况、疫病净化和免疫消毒情况、品种审定等情况。</w:t>
            </w:r>
          </w:p>
          <w:p w14:paraId="2D8A88D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方式：现场检查　</w:t>
            </w:r>
          </w:p>
        </w:tc>
        <w:tc>
          <w:tcPr>
            <w:tcW w:w="1635" w:type="dxa"/>
            <w:tcBorders>
              <w:top w:val="single" w:color="auto" w:sz="4" w:space="0"/>
              <w:left w:val="single" w:color="auto" w:sz="4" w:space="0"/>
              <w:bottom w:val="single" w:color="auto" w:sz="4" w:space="0"/>
              <w:right w:val="single" w:color="auto" w:sz="4" w:space="0"/>
            </w:tcBorders>
            <w:noWrap/>
            <w:vAlign w:val="center"/>
          </w:tcPr>
          <w:p w14:paraId="1940A2C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　种畜禽质量监督检查，具体为种畜禽场选址布局；种畜禽品种、代次、存栏情况；专业人员、设施设备情况；生产管理规范、育种记录及其他管理制度；档案管理；卫生防疫；销售记录；许可证情况；安全生产情况，其他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52381582">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符合《畜牧法》、《种畜禽管理条例》、《动物防疫法》等相关法律法规　</w:t>
            </w:r>
          </w:p>
        </w:tc>
      </w:tr>
      <w:tr w14:paraId="21ED9304">
        <w:tblPrEx>
          <w:tblCellMar>
            <w:top w:w="0" w:type="dxa"/>
            <w:left w:w="108" w:type="dxa"/>
            <w:bottom w:w="0" w:type="dxa"/>
            <w:right w:w="108" w:type="dxa"/>
          </w:tblCellMar>
        </w:tblPrEx>
        <w:trPr>
          <w:trHeight w:val="179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5E9C8422">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1464" w:type="dxa"/>
            <w:tcBorders>
              <w:top w:val="single" w:color="auto" w:sz="4" w:space="0"/>
              <w:left w:val="single" w:color="auto" w:sz="4" w:space="0"/>
              <w:bottom w:val="single" w:color="auto" w:sz="4" w:space="0"/>
              <w:right w:val="single" w:color="auto" w:sz="4" w:space="0"/>
            </w:tcBorders>
            <w:noWrap/>
            <w:vAlign w:val="center"/>
          </w:tcPr>
          <w:p w14:paraId="1B7EC196">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5817BB9B">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畜禽养殖监督检查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023B9EA8">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1.《中华人民共和国畜牧法》第五条第一款：国务院农业农村主管部门负责全国畜牧业的监督管理工作。县级以上地方人民政府农业农村主管部门负责本行政区域内的畜牧业监督管理工作。</w:t>
            </w:r>
          </w:p>
          <w:p w14:paraId="065E70AE">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2.《中华人民共和国畜牧法》第七十一条：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tc>
        <w:tc>
          <w:tcPr>
            <w:tcW w:w="1530" w:type="dxa"/>
            <w:tcBorders>
              <w:top w:val="single" w:color="auto" w:sz="4" w:space="0"/>
              <w:left w:val="single" w:color="auto" w:sz="4" w:space="0"/>
              <w:bottom w:val="single" w:color="auto" w:sz="4" w:space="0"/>
              <w:right w:val="single" w:color="auto" w:sz="4" w:space="0"/>
            </w:tcBorders>
            <w:noWrap/>
            <w:vAlign w:val="center"/>
          </w:tcPr>
          <w:p w14:paraId="5028FBE0">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内容：1.畜禽饲养环境、种畜禽质量、畜禽交易与运输、畜禽屠宰情况是否符合法律法规相关规定；</w:t>
            </w:r>
          </w:p>
          <w:p w14:paraId="6AFA7F19">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兽药使用环节是否遵守国务院兽医行政管理部门制定的兽药安全使用规定，并建立用药记录，是否使用禁用药品等。</w:t>
            </w:r>
          </w:p>
          <w:p w14:paraId="25F44B1A">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50263246">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1.畜禽饲养环境、种畜禽质量、畜禽交易与运输、畜禽屠宰情况等；</w:t>
            </w:r>
          </w:p>
          <w:p w14:paraId="0E4AA330">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2.对饲料、饲料添加剂、兽药使用、禁用药品的监督检查，兽药使用环节是否遵守国务院兽医行政管理部门制定的兽药安全使用规定，并建立用药记录，是否使用禁用药品等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74A24D51">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符合《中华人民共和国畜牧法》等相关法律法规相关规定</w:t>
            </w:r>
          </w:p>
        </w:tc>
      </w:tr>
      <w:tr w14:paraId="5B0B1782">
        <w:tblPrEx>
          <w:tblCellMar>
            <w:top w:w="0" w:type="dxa"/>
            <w:left w:w="108" w:type="dxa"/>
            <w:bottom w:w="0" w:type="dxa"/>
            <w:right w:w="108" w:type="dxa"/>
          </w:tblCellMar>
        </w:tblPrEx>
        <w:trPr>
          <w:trHeight w:val="1075"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16F9AF79">
            <w:pPr>
              <w:spacing w:line="2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464" w:type="dxa"/>
            <w:tcBorders>
              <w:top w:val="single" w:color="auto" w:sz="4" w:space="0"/>
              <w:left w:val="single" w:color="auto" w:sz="4" w:space="0"/>
              <w:bottom w:val="single" w:color="auto" w:sz="4" w:space="0"/>
              <w:right w:val="single" w:color="auto" w:sz="4" w:space="0"/>
            </w:tcBorders>
            <w:noWrap/>
            <w:vAlign w:val="center"/>
          </w:tcPr>
          <w:p w14:paraId="33859EEA">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513B33C1">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动物防疫监督检查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1EC56A1A">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1.《中华人民共和国动物防疫法》第九条第二款：县级以上地方人民政府农业农村主管部门主管本行政区域的动物防疫工作。</w:t>
            </w:r>
          </w:p>
          <w:p w14:paraId="111D5B92">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中华人民共和国动物防疫法》第二十五条：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动物防疫条件合格证应当载明申请人的名称（姓名）、场（厂）址、动物（动物产品）种类等事项。</w:t>
            </w:r>
          </w:p>
          <w:p w14:paraId="719DA14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3.《中华人民共和国动物防疫法》第二十六条：经营动物、动物产品的集贸市场应当具备国务院农业农村主管部门规定的动物防疫条件，并接受农业农村主管部门的监督检查。具体办法由国务院农业农村主管部门制定。</w:t>
            </w:r>
          </w:p>
          <w:p w14:paraId="7738FBE3">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县级以上地方人民政府应当根据本地情况，决定在城市特定区域禁止家畜家禽活体交易。</w:t>
            </w:r>
          </w:p>
          <w:p w14:paraId="6BA2054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4.《中华人民共和国动物防疫法》第七十四条：县级以上地方人民政府农业农村主管部门依照本法规定，对动物饲养、屠宰、经营、隔离、运输以及动物产品生产、经营、加工、贮藏、运输等活动中的动物防疫实施监督管理。</w:t>
            </w:r>
          </w:p>
          <w:p w14:paraId="7650AAF6">
            <w:pPr>
              <w:spacing w:line="240" w:lineRule="exact"/>
              <w:jc w:val="left"/>
              <w:rPr>
                <w:rFonts w:hint="default" w:ascii="宋体" w:hAnsi="宋体" w:eastAsia="宋体" w:cs="宋体"/>
                <w:sz w:val="18"/>
                <w:szCs w:val="18"/>
                <w:lang w:val="en-US" w:eastAsia="zh-CN"/>
              </w:rPr>
            </w:pPr>
            <w:r>
              <w:rPr>
                <w:rFonts w:hint="eastAsia" w:ascii="宋体" w:hAnsi="宋体" w:cs="宋体"/>
                <w:sz w:val="18"/>
                <w:szCs w:val="18"/>
                <w:lang w:eastAsia="en-US"/>
              </w:rPr>
              <w:t>5.《中华人民共和国动物防疫法》第七十六条：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Fonts w:hint="eastAsia" w:ascii="宋体" w:hAnsi="宋体" w:cs="宋体"/>
                <w:sz w:val="18"/>
                <w:szCs w:val="18"/>
                <w:lang w:val="en-US" w:eastAsia="zh-CN"/>
              </w:rPr>
              <w:t xml:space="preserve">                                                                              </w:t>
            </w:r>
          </w:p>
          <w:p w14:paraId="2A2AA740">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县级以上地方人民政府农业农村主管部门根据动物疫病预防、控制需要，经所在地县级以上地方人民政府批准，可以在车站、港口、机场等相关场所派驻官方兽医或者工作人员。</w:t>
            </w:r>
          </w:p>
          <w:p w14:paraId="622AAF7B">
            <w:pPr>
              <w:spacing w:line="240" w:lineRule="exact"/>
              <w:jc w:val="left"/>
              <w:rPr>
                <w:rFonts w:hint="eastAsia" w:ascii="宋体" w:hAnsi="宋体" w:eastAsia="宋体" w:cs="宋体"/>
                <w:sz w:val="18"/>
                <w:szCs w:val="18"/>
                <w:lang w:eastAsia="zh-CN"/>
              </w:rPr>
            </w:pPr>
            <w:r>
              <w:rPr>
                <w:rFonts w:hint="eastAsia" w:ascii="宋体" w:hAnsi="宋体" w:cs="宋体"/>
                <w:sz w:val="18"/>
                <w:szCs w:val="18"/>
                <w:lang w:val="en-US" w:eastAsia="zh-CN"/>
              </w:rPr>
              <w:t xml:space="preserve"> </w:t>
            </w:r>
          </w:p>
        </w:tc>
        <w:tc>
          <w:tcPr>
            <w:tcW w:w="1530" w:type="dxa"/>
            <w:tcBorders>
              <w:top w:val="single" w:color="auto" w:sz="4" w:space="0"/>
              <w:left w:val="single" w:color="auto" w:sz="4" w:space="0"/>
              <w:bottom w:val="single" w:color="auto" w:sz="4" w:space="0"/>
              <w:right w:val="single" w:color="auto" w:sz="4" w:space="0"/>
            </w:tcBorders>
            <w:noWrap/>
            <w:vAlign w:val="center"/>
          </w:tcPr>
          <w:p w14:paraId="060738C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内容：向无规定动物疫病区输入易感动物、动物产品实施检疫的行政检查；对动物及动物产品检疫合格证核发的行政检查；对动物防疫条件合格证核发的行政检查、对病死畜禽无害化处理的行政检查等</w:t>
            </w:r>
          </w:p>
          <w:p w14:paraId="26874BA4">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方式：现场检查，书面检查，网络检查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08ACB8A5">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对向无规定动物疫病区输入易感动物、动物产品实施检疫的行政检查；对动物及动物产品检疫合格证核发的行政检查；对动物防疫条件合格证核发的行政检查、对病死畜禽无害化处理的行政检查等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252C0510">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符合《</w:t>
            </w:r>
            <w:r>
              <w:rPr>
                <w:rFonts w:hint="eastAsia" w:ascii="宋体" w:hAnsi="宋体" w:cs="宋体"/>
                <w:sz w:val="18"/>
                <w:szCs w:val="18"/>
                <w:lang w:val="en-US" w:eastAsia="zh-CN"/>
              </w:rPr>
              <w:t>中华人民共和国</w:t>
            </w:r>
            <w:r>
              <w:rPr>
                <w:rFonts w:hint="eastAsia" w:ascii="宋体" w:hAnsi="宋体" w:cs="宋体"/>
                <w:sz w:val="18"/>
                <w:szCs w:val="18"/>
                <w:lang w:eastAsia="en-US"/>
              </w:rPr>
              <w:t>动物防疫</w:t>
            </w:r>
            <w:r>
              <w:rPr>
                <w:rFonts w:hint="eastAsia" w:ascii="宋体" w:hAnsi="宋体" w:cs="宋体"/>
                <w:sz w:val="18"/>
                <w:szCs w:val="18"/>
                <w:lang w:val="en-US" w:eastAsia="zh-CN"/>
              </w:rPr>
              <w:t>法</w:t>
            </w:r>
            <w:r>
              <w:rPr>
                <w:rFonts w:hint="eastAsia" w:ascii="宋体" w:hAnsi="宋体" w:cs="宋体"/>
                <w:sz w:val="18"/>
                <w:szCs w:val="18"/>
                <w:lang w:eastAsia="en-US"/>
              </w:rPr>
              <w:t>》等相关规定</w:t>
            </w:r>
          </w:p>
        </w:tc>
      </w:tr>
      <w:tr w14:paraId="1007C8F8">
        <w:tblPrEx>
          <w:tblCellMar>
            <w:top w:w="0" w:type="dxa"/>
            <w:left w:w="108" w:type="dxa"/>
            <w:bottom w:w="0" w:type="dxa"/>
            <w:right w:w="108" w:type="dxa"/>
          </w:tblCellMar>
        </w:tblPrEx>
        <w:trPr>
          <w:trHeight w:val="179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7A54B1DC">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10</w:t>
            </w:r>
          </w:p>
        </w:tc>
        <w:tc>
          <w:tcPr>
            <w:tcW w:w="1464" w:type="dxa"/>
            <w:tcBorders>
              <w:top w:val="single" w:color="auto" w:sz="4" w:space="0"/>
              <w:left w:val="single" w:color="auto" w:sz="4" w:space="0"/>
              <w:bottom w:val="single" w:color="auto" w:sz="4" w:space="0"/>
              <w:right w:val="single" w:color="auto" w:sz="4" w:space="0"/>
            </w:tcBorders>
            <w:noWrap/>
            <w:vAlign w:val="center"/>
          </w:tcPr>
          <w:p w14:paraId="2D836BF5">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w:t>
            </w:r>
            <w:r>
              <w:rPr>
                <w:rFonts w:hint="eastAsia" w:ascii="宋体" w:hAnsi="宋体" w:cs="宋体"/>
                <w:sz w:val="18"/>
                <w:szCs w:val="18"/>
                <w:lang w:val="en-US" w:eastAsia="zh-CN"/>
              </w:rPr>
              <w:t xml:space="preserve">局                                                                                          </w:t>
            </w:r>
          </w:p>
        </w:tc>
        <w:tc>
          <w:tcPr>
            <w:tcW w:w="1560" w:type="dxa"/>
            <w:tcBorders>
              <w:top w:val="single" w:color="auto" w:sz="4" w:space="0"/>
              <w:left w:val="single" w:color="auto" w:sz="4" w:space="0"/>
              <w:bottom w:val="single" w:color="auto" w:sz="4" w:space="0"/>
              <w:right w:val="single" w:color="auto" w:sz="4" w:space="0"/>
            </w:tcBorders>
            <w:noWrap/>
            <w:vAlign w:val="center"/>
          </w:tcPr>
          <w:p w14:paraId="66A8DE2D">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动物诊疗监督检查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19CF3B1A">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动物防疫法》第六十一条：从事动物诊疗活动的机构，应当具备下列条件：（一）有与动物诊疗活动相适应并符合动物防疫条件的场所；（二）有与动物诊疗活动相适应的执业兽医；（三）有与动物诊疗活动相适应的兽医器械和设备；（四）有完善的管理制度。动物诊疗机构包括动物医院、动物诊所以及其他提供动物诊疗服务的机构。</w:t>
            </w:r>
          </w:p>
          <w:p w14:paraId="03B74064">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中华人民共和国动物防疫法》第六十九条：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执业兽医资格考试办法由国务院农业农村主管部门商国务院人力资源主管部门制定。</w:t>
            </w:r>
          </w:p>
          <w:p w14:paraId="1AD91061">
            <w:pPr>
              <w:spacing w:line="240" w:lineRule="exact"/>
              <w:jc w:val="left"/>
              <w:rPr>
                <w:rFonts w:hint="eastAsia" w:ascii="宋体" w:hAnsi="宋体" w:cs="宋体"/>
                <w:sz w:val="18"/>
                <w:szCs w:val="18"/>
                <w:lang w:eastAsia="en-US"/>
              </w:rPr>
            </w:pPr>
            <w:r>
              <w:rPr>
                <w:rFonts w:hint="eastAsia" w:ascii="宋体" w:hAnsi="宋体" w:cs="宋体"/>
                <w:sz w:val="18"/>
                <w:szCs w:val="18"/>
                <w:lang w:val="en-US" w:eastAsia="zh-CN"/>
              </w:rPr>
              <w:t xml:space="preserve"> 3</w:t>
            </w:r>
            <w:r>
              <w:rPr>
                <w:rFonts w:hint="eastAsia" w:ascii="宋体" w:hAnsi="宋体" w:cs="宋体"/>
                <w:sz w:val="18"/>
                <w:szCs w:val="18"/>
                <w:lang w:eastAsia="en-US"/>
              </w:rPr>
              <w:t>.《动物诊疗机构管理办法》第三条第二款：县级以上地方人民政府农业农村主管部门负责本行政区域内动物诊疗机构的监督管理。</w:t>
            </w:r>
          </w:p>
          <w:p w14:paraId="05B87F89">
            <w:pPr>
              <w:spacing w:line="240" w:lineRule="exact"/>
              <w:jc w:val="left"/>
              <w:rPr>
                <w:rFonts w:hint="eastAsia" w:ascii="宋体" w:hAnsi="宋体" w:cs="宋体"/>
                <w:sz w:val="18"/>
                <w:szCs w:val="18"/>
                <w:lang w:eastAsia="en-US"/>
              </w:rPr>
            </w:pPr>
            <w:r>
              <w:rPr>
                <w:rFonts w:hint="eastAsia" w:ascii="宋体" w:hAnsi="宋体" w:cs="宋体"/>
                <w:sz w:val="18"/>
                <w:szCs w:val="18"/>
                <w:lang w:val="en-US" w:eastAsia="zh-CN"/>
              </w:rPr>
              <w:t>4</w:t>
            </w:r>
            <w:r>
              <w:rPr>
                <w:rFonts w:hint="eastAsia" w:ascii="宋体" w:hAnsi="宋体" w:cs="宋体"/>
                <w:sz w:val="18"/>
                <w:szCs w:val="18"/>
                <w:lang w:eastAsia="en-US"/>
              </w:rPr>
              <w:t>.《动物诊疗机构管理办法》第三十一条：县级以上地方人民政府农业农村主管部门应当建立健全日常监管制度，对辖区内动物诊疗机构和人</w:t>
            </w:r>
            <w:r>
              <w:rPr>
                <w:rFonts w:hint="eastAsia" w:ascii="宋体" w:hAnsi="宋体" w:cs="宋体"/>
                <w:sz w:val="18"/>
                <w:szCs w:val="18"/>
                <w:lang w:val="en-US" w:eastAsia="zh-CN"/>
              </w:rPr>
              <w:t xml:space="preserve">                                                                                                                                                                                                                                                                                                                                                                                                                                                                                                                                                                                                                                                                                                      </w:t>
            </w:r>
            <w:r>
              <w:rPr>
                <w:rFonts w:hint="eastAsia" w:ascii="宋体" w:hAnsi="宋体" w:cs="宋体"/>
                <w:sz w:val="18"/>
                <w:szCs w:val="18"/>
                <w:lang w:eastAsia="en-US"/>
              </w:rPr>
              <w:t>员执行法律、法规、规章的情况进行监督检查。</w:t>
            </w:r>
          </w:p>
        </w:tc>
        <w:tc>
          <w:tcPr>
            <w:tcW w:w="1530" w:type="dxa"/>
            <w:tcBorders>
              <w:top w:val="single" w:color="auto" w:sz="4" w:space="0"/>
              <w:left w:val="single" w:color="auto" w:sz="4" w:space="0"/>
              <w:bottom w:val="single" w:color="auto" w:sz="4" w:space="0"/>
              <w:right w:val="single" w:color="auto" w:sz="4" w:space="0"/>
            </w:tcBorders>
            <w:noWrap/>
            <w:vAlign w:val="center"/>
          </w:tcPr>
          <w:p w14:paraId="2ECB793E">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内容：执业兽医备案表；执业兽医资格证书等</w:t>
            </w:r>
          </w:p>
          <w:p w14:paraId="0299DE5C">
            <w:pPr>
              <w:spacing w:line="240" w:lineRule="exact"/>
              <w:jc w:val="left"/>
              <w:rPr>
                <w:rFonts w:hint="eastAsia" w:ascii="宋体" w:hAnsi="宋体" w:eastAsia="宋体" w:cs="宋体"/>
                <w:sz w:val="18"/>
                <w:szCs w:val="18"/>
                <w:lang w:eastAsia="zh-CN"/>
              </w:rPr>
            </w:pPr>
            <w:r>
              <w:rPr>
                <w:rFonts w:hint="eastAsia" w:ascii="宋体" w:hAnsi="宋体" w:cs="宋体"/>
                <w:sz w:val="18"/>
                <w:szCs w:val="18"/>
                <w:lang w:eastAsia="en-US"/>
              </w:rPr>
              <w:t>方式：现</w:t>
            </w:r>
            <w:r>
              <w:rPr>
                <w:rFonts w:hint="eastAsia" w:ascii="宋体" w:hAnsi="宋体" w:cs="宋体"/>
                <w:sz w:val="18"/>
                <w:szCs w:val="18"/>
                <w:lang w:val="en-US" w:eastAsia="zh-CN"/>
              </w:rPr>
              <w:t xml:space="preserve">场检查                                                             </w:t>
            </w:r>
          </w:p>
        </w:tc>
        <w:tc>
          <w:tcPr>
            <w:tcW w:w="1635" w:type="dxa"/>
            <w:tcBorders>
              <w:top w:val="single" w:color="auto" w:sz="4" w:space="0"/>
              <w:left w:val="single" w:color="auto" w:sz="4" w:space="0"/>
              <w:bottom w:val="single" w:color="auto" w:sz="4" w:space="0"/>
              <w:right w:val="single" w:color="auto" w:sz="4" w:space="0"/>
            </w:tcBorders>
            <w:noWrap/>
            <w:vAlign w:val="center"/>
          </w:tcPr>
          <w:p w14:paraId="3BAD1B1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对执业兽医备案的行政检查；对执业兽医资格证核发监管的行政核查</w:t>
            </w:r>
          </w:p>
        </w:tc>
        <w:tc>
          <w:tcPr>
            <w:tcW w:w="1486" w:type="dxa"/>
            <w:tcBorders>
              <w:top w:val="single" w:color="auto" w:sz="4" w:space="0"/>
              <w:left w:val="single" w:color="auto" w:sz="4" w:space="0"/>
              <w:bottom w:val="single" w:color="auto" w:sz="4" w:space="0"/>
              <w:right w:val="single" w:color="auto" w:sz="4" w:space="0"/>
            </w:tcBorders>
            <w:noWrap/>
            <w:vAlign w:val="center"/>
          </w:tcPr>
          <w:p w14:paraId="77D1369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符合《中华人民共和国动物防疫法》</w:t>
            </w:r>
            <w:r>
              <w:rPr>
                <w:rFonts w:hint="eastAsia" w:ascii="宋体" w:hAnsi="宋体" w:cs="宋体"/>
                <w:sz w:val="18"/>
                <w:szCs w:val="18"/>
                <w:lang w:val="en-US" w:eastAsia="zh-CN"/>
              </w:rPr>
              <w:t xml:space="preserve"> </w:t>
            </w:r>
            <w:r>
              <w:rPr>
                <w:rFonts w:hint="eastAsia" w:ascii="宋体" w:hAnsi="宋体" w:cs="宋体"/>
                <w:sz w:val="18"/>
                <w:szCs w:val="18"/>
                <w:lang w:eastAsia="en-US"/>
              </w:rPr>
              <w:t>《动物诊疗机构管理办法》等相关规定要求。</w:t>
            </w:r>
          </w:p>
        </w:tc>
      </w:tr>
      <w:tr w14:paraId="70925791">
        <w:tblPrEx>
          <w:tblCellMar>
            <w:top w:w="0" w:type="dxa"/>
            <w:left w:w="108" w:type="dxa"/>
            <w:bottom w:w="0" w:type="dxa"/>
            <w:right w:w="108" w:type="dxa"/>
          </w:tblCellMar>
        </w:tblPrEx>
        <w:trPr>
          <w:trHeight w:val="90"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46F6B57C">
            <w:pPr>
              <w:spacing w:line="240" w:lineRule="exact"/>
              <w:jc w:val="center"/>
              <w:rPr>
                <w:rFonts w:hint="eastAsia" w:ascii="宋体" w:hAnsi="宋体" w:eastAsia="宋体" w:cs="宋体"/>
                <w:sz w:val="18"/>
                <w:szCs w:val="18"/>
                <w:lang w:eastAsia="zh-CN"/>
              </w:rPr>
            </w:pPr>
            <w:r>
              <w:rPr>
                <w:rFonts w:hint="eastAsia" w:ascii="宋体" w:hAnsi="宋体" w:cs="宋体"/>
                <w:sz w:val="18"/>
                <w:szCs w:val="18"/>
                <w:lang w:eastAsia="en-US"/>
              </w:rPr>
              <w:t>1</w:t>
            </w:r>
            <w:r>
              <w:rPr>
                <w:rFonts w:hint="eastAsia" w:ascii="宋体" w:hAnsi="宋体" w:cs="宋体"/>
                <w:sz w:val="18"/>
                <w:szCs w:val="18"/>
                <w:lang w:val="en-US" w:eastAsia="zh-CN"/>
              </w:rPr>
              <w:t>1</w:t>
            </w:r>
          </w:p>
        </w:tc>
        <w:tc>
          <w:tcPr>
            <w:tcW w:w="1464" w:type="dxa"/>
            <w:tcBorders>
              <w:top w:val="single" w:color="auto" w:sz="4" w:space="0"/>
              <w:left w:val="single" w:color="auto" w:sz="4" w:space="0"/>
              <w:bottom w:val="single" w:color="auto" w:sz="4" w:space="0"/>
              <w:right w:val="single" w:color="auto" w:sz="4" w:space="0"/>
            </w:tcBorders>
            <w:noWrap/>
            <w:vAlign w:val="center"/>
          </w:tcPr>
          <w:p w14:paraId="14EED73B">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11F8AB5B">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兽药质量的监督检查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5CCAED50">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1.《兽药管理条例》第三条：国务院兽医行政管理部门负责全国的兽药监督管理工作。县级以上地方人民政府兽医行政管理部门负责本行政区域内的兽药监督管理工作。</w:t>
            </w:r>
          </w:p>
          <w:p w14:paraId="7D92822E">
            <w:pPr>
              <w:spacing w:line="240" w:lineRule="exact"/>
              <w:jc w:val="left"/>
              <w:rPr>
                <w:rFonts w:hint="eastAsia" w:ascii="宋体" w:hAnsi="宋体" w:cs="宋体"/>
                <w:sz w:val="18"/>
                <w:szCs w:val="18"/>
                <w:lang w:eastAsia="en-US"/>
              </w:rPr>
            </w:pPr>
            <w:r>
              <w:rPr>
                <w:rFonts w:hint="eastAsia" w:ascii="宋体" w:hAnsi="宋体" w:cs="宋体"/>
                <w:sz w:val="18"/>
                <w:szCs w:val="18"/>
                <w:lang w:val="en-US" w:eastAsia="zh-CN"/>
              </w:rPr>
              <w:t xml:space="preserve"> 2</w:t>
            </w:r>
            <w:r>
              <w:rPr>
                <w:rFonts w:hint="eastAsia" w:ascii="宋体" w:hAnsi="宋体" w:cs="宋体"/>
                <w:sz w:val="18"/>
                <w:szCs w:val="18"/>
                <w:lang w:eastAsia="en-US"/>
              </w:rPr>
              <w:t>.《兽药管理条例》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14:paraId="41D0F29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未经行政强制措施决定机关或者其上级机关批准，不得擅自转移、使用、销毁、销售被查封或者扣押的兽药及有关材料。</w:t>
            </w:r>
          </w:p>
        </w:tc>
        <w:tc>
          <w:tcPr>
            <w:tcW w:w="1530" w:type="dxa"/>
            <w:tcBorders>
              <w:top w:val="single" w:color="auto" w:sz="4" w:space="0"/>
              <w:left w:val="single" w:color="auto" w:sz="4" w:space="0"/>
              <w:bottom w:val="single" w:color="auto" w:sz="4" w:space="0"/>
              <w:right w:val="single" w:color="auto" w:sz="4" w:space="0"/>
            </w:tcBorders>
            <w:noWrap/>
            <w:vAlign w:val="center"/>
          </w:tcPr>
          <w:p w14:paraId="6FB9B579">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内容：是否有GMP证书、生产许可证，所生产的兽药是否符合《兽药质量管理规范》等。</w:t>
            </w:r>
          </w:p>
          <w:p w14:paraId="7DD09B97">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方式：现场检查，抽样检测</w:t>
            </w:r>
          </w:p>
        </w:tc>
        <w:tc>
          <w:tcPr>
            <w:tcW w:w="1635" w:type="dxa"/>
            <w:tcBorders>
              <w:top w:val="single" w:color="auto" w:sz="4" w:space="0"/>
              <w:left w:val="single" w:color="auto" w:sz="4" w:space="0"/>
              <w:bottom w:val="single" w:color="auto" w:sz="4" w:space="0"/>
              <w:right w:val="single" w:color="auto" w:sz="4" w:space="0"/>
            </w:tcBorders>
            <w:noWrap/>
            <w:vAlign w:val="center"/>
          </w:tcPr>
          <w:p w14:paraId="3F05461A">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兽药生产企业生产的兽药质量等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4652968F">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符合《兽药管理条例》《兽药生产质量管理规范》等法规规范要求。</w:t>
            </w:r>
          </w:p>
        </w:tc>
      </w:tr>
      <w:tr w14:paraId="34CDCBDE">
        <w:tblPrEx>
          <w:tblCellMar>
            <w:top w:w="0" w:type="dxa"/>
            <w:left w:w="108" w:type="dxa"/>
            <w:bottom w:w="0" w:type="dxa"/>
            <w:right w:w="108" w:type="dxa"/>
          </w:tblCellMar>
        </w:tblPrEx>
        <w:trPr>
          <w:trHeight w:val="1970"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05D25B19">
            <w:pPr>
              <w:spacing w:line="240" w:lineRule="exact"/>
              <w:jc w:val="center"/>
              <w:rPr>
                <w:rFonts w:hint="eastAsia" w:ascii="宋体" w:hAnsi="宋体" w:eastAsia="宋体" w:cs="宋体"/>
                <w:sz w:val="18"/>
                <w:szCs w:val="18"/>
                <w:lang w:eastAsia="zh-CN"/>
              </w:rPr>
            </w:pPr>
            <w:r>
              <w:rPr>
                <w:rFonts w:hint="eastAsia" w:ascii="宋体" w:hAnsi="宋体" w:cs="宋体"/>
                <w:sz w:val="18"/>
                <w:szCs w:val="18"/>
                <w:lang w:eastAsia="en-US"/>
              </w:rPr>
              <w:t>1</w:t>
            </w:r>
            <w:r>
              <w:rPr>
                <w:rFonts w:hint="eastAsia" w:ascii="宋体" w:hAnsi="宋体" w:cs="宋体"/>
                <w:sz w:val="18"/>
                <w:szCs w:val="18"/>
                <w:lang w:val="en-US" w:eastAsia="zh-CN"/>
              </w:rPr>
              <w:t>2</w:t>
            </w:r>
          </w:p>
        </w:tc>
        <w:tc>
          <w:tcPr>
            <w:tcW w:w="1464" w:type="dxa"/>
            <w:tcBorders>
              <w:top w:val="single" w:color="auto" w:sz="4" w:space="0"/>
              <w:left w:val="single" w:color="auto" w:sz="4" w:space="0"/>
              <w:bottom w:val="single" w:color="auto" w:sz="4" w:space="0"/>
              <w:right w:val="single" w:color="auto" w:sz="4" w:space="0"/>
            </w:tcBorders>
            <w:noWrap/>
            <w:vAlign w:val="center"/>
          </w:tcPr>
          <w:p w14:paraId="3CE0F629">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34DE05F0">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兽药经营企业监督检查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71BA73B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1.《兽药管理条例》第三条第二款：县级以上地方人民政府兽医行政管理部门负责本行政区域内的兽药监督管理工作。</w:t>
            </w:r>
          </w:p>
          <w:p w14:paraId="0809A3BA">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2.《兽药管理条例》第二十五条：兽药经营企业，应当遵守国务院兽医行政管理部门制定的兽药经营质量管理规范。</w:t>
            </w:r>
          </w:p>
          <w:p w14:paraId="1F952B78">
            <w:pPr>
              <w:spacing w:line="240" w:lineRule="exact"/>
              <w:ind w:firstLine="180" w:firstLineChars="100"/>
              <w:jc w:val="left"/>
              <w:rPr>
                <w:rFonts w:hint="eastAsia" w:ascii="宋体" w:hAnsi="宋体" w:cs="宋体"/>
                <w:sz w:val="18"/>
                <w:szCs w:val="18"/>
                <w:lang w:eastAsia="en-US"/>
              </w:rPr>
            </w:pPr>
            <w:r>
              <w:rPr>
                <w:rFonts w:hint="eastAsia" w:ascii="宋体" w:hAnsi="宋体" w:cs="宋体"/>
                <w:sz w:val="18"/>
                <w:szCs w:val="18"/>
                <w:lang w:eastAsia="en-US"/>
              </w:rPr>
              <w:t>县级以上地方人民政府兽医行政管理部门，应当对兽药经营企业是否符合兽药经营质量管理规范的要求进行监督检查，并公布检查结果。</w:t>
            </w:r>
          </w:p>
        </w:tc>
        <w:tc>
          <w:tcPr>
            <w:tcW w:w="1530" w:type="dxa"/>
            <w:tcBorders>
              <w:top w:val="single" w:color="auto" w:sz="4" w:space="0"/>
              <w:left w:val="single" w:color="auto" w:sz="4" w:space="0"/>
              <w:bottom w:val="single" w:color="auto" w:sz="4" w:space="0"/>
              <w:right w:val="single" w:color="auto" w:sz="4" w:space="0"/>
            </w:tcBorders>
            <w:noWrap/>
            <w:vAlign w:val="center"/>
          </w:tcPr>
          <w:p w14:paraId="032854D2">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内容：是否符合《兽药经营管理规范》，有兽药经营许可证，兽药经营活动是否符合《兽药管理条例》等相关要求。</w:t>
            </w:r>
          </w:p>
          <w:p w14:paraId="23A4D7F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1E57C45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对批准进口的兽药进行的行政检查；对进口兽药经营、使用活动的监督检查及产品监督抽检、对兽药经营企业和个人的监督检查</w:t>
            </w:r>
          </w:p>
        </w:tc>
        <w:tc>
          <w:tcPr>
            <w:tcW w:w="1486" w:type="dxa"/>
            <w:tcBorders>
              <w:top w:val="single" w:color="auto" w:sz="4" w:space="0"/>
              <w:left w:val="single" w:color="auto" w:sz="4" w:space="0"/>
              <w:bottom w:val="single" w:color="auto" w:sz="4" w:space="0"/>
              <w:right w:val="single" w:color="auto" w:sz="4" w:space="0"/>
            </w:tcBorders>
            <w:noWrap/>
            <w:vAlign w:val="center"/>
          </w:tcPr>
          <w:p w14:paraId="334926E9">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符合《兽药经营管理规范》《兽药管理条例》等相关要求。</w:t>
            </w:r>
          </w:p>
        </w:tc>
      </w:tr>
      <w:tr w14:paraId="78B2644C">
        <w:tblPrEx>
          <w:tblCellMar>
            <w:top w:w="0" w:type="dxa"/>
            <w:left w:w="108" w:type="dxa"/>
            <w:bottom w:w="0" w:type="dxa"/>
            <w:right w:w="108" w:type="dxa"/>
          </w:tblCellMar>
        </w:tblPrEx>
        <w:trPr>
          <w:trHeight w:val="327"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732F7059">
            <w:pPr>
              <w:spacing w:line="240" w:lineRule="exact"/>
              <w:jc w:val="center"/>
              <w:rPr>
                <w:rFonts w:hint="eastAsia" w:ascii="宋体" w:hAnsi="宋体" w:eastAsia="宋体" w:cs="宋体"/>
                <w:sz w:val="18"/>
                <w:szCs w:val="18"/>
                <w:lang w:eastAsia="zh-CN"/>
              </w:rPr>
            </w:pPr>
            <w:r>
              <w:rPr>
                <w:rFonts w:hint="eastAsia" w:ascii="宋体" w:hAnsi="宋体" w:cs="宋体"/>
                <w:sz w:val="18"/>
                <w:szCs w:val="18"/>
                <w:lang w:eastAsia="en-US"/>
              </w:rPr>
              <w:t>1</w:t>
            </w:r>
            <w:r>
              <w:rPr>
                <w:rFonts w:hint="eastAsia" w:ascii="宋体" w:hAnsi="宋体" w:cs="宋体"/>
                <w:sz w:val="18"/>
                <w:szCs w:val="18"/>
                <w:lang w:val="en-US" w:eastAsia="zh-CN"/>
              </w:rPr>
              <w:t>3</w:t>
            </w:r>
          </w:p>
        </w:tc>
        <w:tc>
          <w:tcPr>
            <w:tcW w:w="1464" w:type="dxa"/>
            <w:tcBorders>
              <w:top w:val="single" w:color="auto" w:sz="4" w:space="0"/>
              <w:left w:val="single" w:color="auto" w:sz="4" w:space="0"/>
              <w:bottom w:val="single" w:color="auto" w:sz="4" w:space="0"/>
              <w:right w:val="single" w:color="auto" w:sz="4" w:space="0"/>
            </w:tcBorders>
            <w:noWrap/>
            <w:vAlign w:val="center"/>
          </w:tcPr>
          <w:p w14:paraId="75E3BD90">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588E8DF9">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定点屠宰活动监督检查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41D7E58A">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生猪屠宰管理条例》第三条：国务院农业农村主管部门负责全国生猪屠宰的行业管理工作。县级以上地方人民政府农业农村主管部门负责本行政区域内生猪屠宰活动的监督管理。县级以上人民政府有关部门在各自职责范围内负责生猪屠宰活动的相关管理工作。</w:t>
            </w:r>
          </w:p>
          <w:p w14:paraId="1E30EF72">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生猪屠宰管理条例》第二十六条：县级以上地方人民政府农业农村主管部门应当根据生猪屠宰质量安全风险监测结果和国务院农业农村主管部门的规定，加强对生猪定点屠宰厂（场）质量安全管理状况的监督检查。</w:t>
            </w:r>
          </w:p>
          <w:p w14:paraId="4B46070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3.《生猪屠宰管理条例》第二十七条：农业农村主管部门应当依照本条例的规定严格履行职责，加强对生猪屠宰活动的日常监督检查，建立健全随机抽查机制。</w:t>
            </w:r>
          </w:p>
          <w:p w14:paraId="3322747C">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农业农村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农业农村主管部门进行监督检查时，监督检查人员不得少于2人，并应当出示执法证件。对农业农村主管部门依法进行的监督检查，有关单位和个人应当予以配合，不得拒绝、阻挠。</w:t>
            </w:r>
          </w:p>
        </w:tc>
        <w:tc>
          <w:tcPr>
            <w:tcW w:w="1530" w:type="dxa"/>
            <w:tcBorders>
              <w:top w:val="single" w:color="auto" w:sz="4" w:space="0"/>
              <w:left w:val="single" w:color="auto" w:sz="4" w:space="0"/>
              <w:bottom w:val="single" w:color="auto" w:sz="4" w:space="0"/>
              <w:right w:val="single" w:color="auto" w:sz="4" w:space="0"/>
            </w:tcBorders>
            <w:noWrap/>
            <w:vAlign w:val="center"/>
          </w:tcPr>
          <w:p w14:paraId="10279DD7">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内容：检查生猪定点屠宰企业对入场查验、“瘦肉精”检测、肉品品质质量安全等制度的落实情况。</w:t>
            </w:r>
          </w:p>
          <w:p w14:paraId="09242ACD">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5CCD4EE9">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屠宰企业是否有注水或注入其他物质，违法添加使用“瘦肉精”及其他违禁物质，违法屠宰、销售病死畜禽及产品等行为；按照农业部《生猪屠宰企业监督检查规范》内容和要求对生猪屠宰企业进行监督检查</w:t>
            </w:r>
          </w:p>
        </w:tc>
        <w:tc>
          <w:tcPr>
            <w:tcW w:w="1486" w:type="dxa"/>
            <w:tcBorders>
              <w:top w:val="single" w:color="auto" w:sz="4" w:space="0"/>
              <w:left w:val="single" w:color="auto" w:sz="4" w:space="0"/>
              <w:bottom w:val="single" w:color="auto" w:sz="4" w:space="0"/>
              <w:right w:val="single" w:color="auto" w:sz="4" w:space="0"/>
            </w:tcBorders>
            <w:noWrap/>
            <w:vAlign w:val="center"/>
          </w:tcPr>
          <w:p w14:paraId="7AE85A97">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符合《生猪屠宰管理条例》《生猪屠宰质量管理规范》等相关法律法规的要求</w:t>
            </w:r>
          </w:p>
        </w:tc>
      </w:tr>
      <w:tr w14:paraId="6DD20A7B">
        <w:tblPrEx>
          <w:tblCellMar>
            <w:top w:w="0" w:type="dxa"/>
            <w:left w:w="108" w:type="dxa"/>
            <w:bottom w:w="0" w:type="dxa"/>
            <w:right w:w="108" w:type="dxa"/>
          </w:tblCellMar>
        </w:tblPrEx>
        <w:trPr>
          <w:trHeight w:val="3650"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23F75559">
            <w:pPr>
              <w:spacing w:line="240" w:lineRule="exact"/>
              <w:jc w:val="center"/>
              <w:rPr>
                <w:rFonts w:hint="eastAsia" w:ascii="宋体" w:hAnsi="宋体" w:eastAsia="宋体" w:cs="宋体"/>
                <w:sz w:val="18"/>
                <w:szCs w:val="18"/>
                <w:lang w:eastAsia="zh-CN"/>
              </w:rPr>
            </w:pPr>
            <w:r>
              <w:rPr>
                <w:rFonts w:hint="eastAsia" w:ascii="宋体" w:hAnsi="宋体" w:cs="宋体"/>
                <w:sz w:val="18"/>
                <w:szCs w:val="18"/>
                <w:lang w:eastAsia="en-US"/>
              </w:rPr>
              <w:t>1</w:t>
            </w:r>
            <w:r>
              <w:rPr>
                <w:rFonts w:hint="eastAsia" w:ascii="宋体" w:hAnsi="宋体" w:cs="宋体"/>
                <w:sz w:val="18"/>
                <w:szCs w:val="18"/>
                <w:lang w:val="en-US" w:eastAsia="zh-CN"/>
              </w:rPr>
              <w:t>4</w:t>
            </w:r>
          </w:p>
        </w:tc>
        <w:tc>
          <w:tcPr>
            <w:tcW w:w="1464" w:type="dxa"/>
            <w:tcBorders>
              <w:top w:val="single" w:color="auto" w:sz="4" w:space="0"/>
              <w:left w:val="single" w:color="auto" w:sz="4" w:space="0"/>
              <w:bottom w:val="single" w:color="auto" w:sz="4" w:space="0"/>
              <w:right w:val="single" w:color="auto" w:sz="4" w:space="0"/>
            </w:tcBorders>
            <w:noWrap/>
            <w:vAlign w:val="center"/>
          </w:tcPr>
          <w:p w14:paraId="34F2DB3F">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21CCD7FE">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农产品质量安全检查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336B9FB6">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农产品质量安全法》第六条第二款：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14:paraId="505A0D1E">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2.《中华人民共和国农产品质量安全法》第四十七条： 县级以上人民政府农业农村主管部门应当建立健全随机抽查机制，按照监督抽查计划，组织开展农产品质量安全监督抽查。农产品质量安全监督抽查检测应当委托符合本法规定条件的农产品质量安全检测机构进行。监督抽查不得向被抽查人收取费用，抽取的样品应当按照市场价格支付费用，并不得超过国务院农业农村主管部门规定的数量。上级农业农村主管部门监督抽查的同批次农产品，下级农业农村主管部门不得另行重复抽查。</w:t>
            </w:r>
          </w:p>
          <w:p w14:paraId="7B7F50B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3.《中华人民共和国农产品质量安全法》第五十二条：县级以上地方人民政府农业农村主管部门应当加强对农产品生产的监督管理，开展日常检查，重点检查农产品产地环境、农业投入品购买和使用、农产品生产记录、承诺达标合格证开具等情况。</w:t>
            </w:r>
          </w:p>
          <w:p w14:paraId="6DB2FF3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国家鼓励和支持基层群众性自治组织建立农产品质量安全信息员工作制度，协助开展有关工作。</w:t>
            </w:r>
          </w:p>
          <w:p w14:paraId="5EA353C0">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4.《中华人民共和国农产品质量安全法》第五十三条：开展农产品质量安全监督检查，有权采取下列措施：（一）进入生产经营场所进行现场检查，调查了解农产品质量安全的有关情况；（二）查阅、复制农产品生产记录、购销台账等与农产品质量安全有关的资料；（三）抽样检测生产经营的农产品和使用的农业投入品以及其他有关产品；（四）查封、扣押有证据证明存在农产品质量安全隐患或者经检测不符合农产品质量安全标准的农产品；（五）查封、扣押有证据证明可能危及农产品质量安全或者经检测不符合产品质量标准的农业投入品以及其他有毒有害物质；（六）查封、扣押用于违法生产经营农产品的设施、设备、场所以及运输工具；（七）收缴伪造的农产品质量标志。农产品生产经营者应当协助、配合农产品质量安全监督检查，不得拒绝、阻挠。</w:t>
            </w:r>
          </w:p>
          <w:p w14:paraId="1287FFC7">
            <w:pPr>
              <w:spacing w:line="240" w:lineRule="exact"/>
              <w:jc w:val="center"/>
              <w:rPr>
                <w:rFonts w:hint="eastAsia" w:ascii="宋体" w:hAnsi="宋体" w:cs="宋体"/>
                <w:sz w:val="18"/>
                <w:szCs w:val="18"/>
                <w:lang w:eastAsia="en-US"/>
              </w:rPr>
            </w:pPr>
          </w:p>
        </w:tc>
        <w:tc>
          <w:tcPr>
            <w:tcW w:w="1530" w:type="dxa"/>
            <w:tcBorders>
              <w:top w:val="single" w:color="auto" w:sz="4" w:space="0"/>
              <w:left w:val="single" w:color="auto" w:sz="4" w:space="0"/>
              <w:bottom w:val="single" w:color="auto" w:sz="4" w:space="0"/>
              <w:right w:val="single" w:color="auto" w:sz="4" w:space="0"/>
            </w:tcBorders>
            <w:noWrap/>
            <w:vAlign w:val="center"/>
          </w:tcPr>
          <w:p w14:paraId="6DC38D7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内容：生产资料台账是否齐全产品药残是否超标。</w:t>
            </w:r>
          </w:p>
          <w:p w14:paraId="574F6B3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方式：现场检查，抽样检测</w:t>
            </w:r>
          </w:p>
        </w:tc>
        <w:tc>
          <w:tcPr>
            <w:tcW w:w="1635" w:type="dxa"/>
            <w:tcBorders>
              <w:top w:val="single" w:color="auto" w:sz="4" w:space="0"/>
              <w:left w:val="single" w:color="auto" w:sz="4" w:space="0"/>
              <w:bottom w:val="single" w:color="auto" w:sz="4" w:space="0"/>
              <w:right w:val="single" w:color="auto" w:sz="4" w:space="0"/>
            </w:tcBorders>
            <w:noWrap/>
            <w:vAlign w:val="center"/>
          </w:tcPr>
          <w:p w14:paraId="10F5ACB3">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农产品质量安全，生产记录、购销台账，农业投入品使用情况等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348F8E26">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按规定填写生产记录档案，遵守农、兽、渔药修药期、间隔期规定，禁止使用禁限用药物</w:t>
            </w:r>
          </w:p>
        </w:tc>
      </w:tr>
      <w:tr w14:paraId="44C6CFEE">
        <w:tblPrEx>
          <w:tblCellMar>
            <w:top w:w="0" w:type="dxa"/>
            <w:left w:w="108" w:type="dxa"/>
            <w:bottom w:w="0" w:type="dxa"/>
            <w:right w:w="108" w:type="dxa"/>
          </w:tblCellMar>
        </w:tblPrEx>
        <w:trPr>
          <w:trHeight w:val="2720"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195A4E7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eastAsia="en-US"/>
              </w:rPr>
              <w:t>1</w:t>
            </w:r>
            <w:r>
              <w:rPr>
                <w:rFonts w:hint="eastAsia" w:ascii="宋体" w:hAnsi="宋体" w:cs="宋体"/>
                <w:sz w:val="18"/>
                <w:szCs w:val="18"/>
                <w:lang w:val="en-US" w:eastAsia="zh-CN"/>
              </w:rPr>
              <w:t>5</w:t>
            </w:r>
          </w:p>
        </w:tc>
        <w:tc>
          <w:tcPr>
            <w:tcW w:w="1464" w:type="dxa"/>
            <w:tcBorders>
              <w:top w:val="single" w:color="auto" w:sz="4" w:space="0"/>
              <w:left w:val="single" w:color="auto" w:sz="4" w:space="0"/>
              <w:bottom w:val="single" w:color="auto" w:sz="4" w:space="0"/>
              <w:right w:val="single" w:color="auto" w:sz="4" w:space="0"/>
            </w:tcBorders>
            <w:noWrap/>
            <w:vAlign w:val="center"/>
          </w:tcPr>
          <w:p w14:paraId="4D749DF5">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7620718C">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农业机械安全检查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249B610E">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1.《农业机械安全监督管理条例》第九条第二款：县级以上地方人民政府农业机械化主管部门、工业主管部门和市场监督管理部门等有关部门按照各自职责，负责本行政区域的农业机械安全监督管理工作。</w:t>
            </w:r>
          </w:p>
          <w:p w14:paraId="0DC1C112">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农业机械安全监督管理条例》第四十条：农业机械安全监督管理执法人员在农田、场院等场所进行农业机械安全监督检查时，可以采取下列措施：（一）向有关单位和个人了解情况，查阅、复制有关资料；（二）查验拖拉机、联合收割机证书、牌照及有关操作证件；（三）检查危及人身财产安全的农业机械的安全状况，对存在重大</w:t>
            </w: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 HYPERLINK "https://baike.baidu.com/item/%E4%BA%8B%E6%95%85%E9%9A%90%E6%82%A3/3059259?fromModule=lemma_inlink" \t "https://baike.baidu.com/item/_blank" </w:instrText>
            </w:r>
            <w:r>
              <w:rPr>
                <w:rFonts w:hint="eastAsia" w:ascii="宋体" w:hAnsi="宋体" w:cs="宋体"/>
                <w:sz w:val="18"/>
                <w:szCs w:val="18"/>
                <w:lang w:eastAsia="en-US"/>
              </w:rPr>
              <w:fldChar w:fldCharType="separate"/>
            </w:r>
            <w:r>
              <w:rPr>
                <w:rFonts w:hint="eastAsia" w:ascii="宋体" w:hAnsi="宋体" w:cs="宋体"/>
                <w:sz w:val="18"/>
                <w:szCs w:val="18"/>
                <w:lang w:eastAsia="en-US"/>
              </w:rPr>
              <w:t>事故隐患</w:t>
            </w:r>
            <w:r>
              <w:rPr>
                <w:rFonts w:hint="eastAsia" w:ascii="宋体" w:hAnsi="宋体" w:cs="宋体"/>
                <w:sz w:val="18"/>
                <w:szCs w:val="18"/>
                <w:lang w:eastAsia="en-US"/>
              </w:rPr>
              <w:fldChar w:fldCharType="end"/>
            </w:r>
            <w:r>
              <w:rPr>
                <w:rFonts w:hint="eastAsia" w:ascii="宋体" w:hAnsi="宋体" w:cs="宋体"/>
                <w:sz w:val="18"/>
                <w:szCs w:val="18"/>
                <w:lang w:eastAsia="en-US"/>
              </w:rPr>
              <w:t>的农业机械，责令当事人立即停止作业或者停止农业机械的转移，并进行维修；（四）责令农业机械操作人员改正违规操作行为。</w:t>
            </w:r>
          </w:p>
          <w:p w14:paraId="5A5E40C2">
            <w:pPr>
              <w:spacing w:line="240" w:lineRule="exact"/>
              <w:jc w:val="center"/>
              <w:rPr>
                <w:rFonts w:hint="eastAsia" w:ascii="宋体" w:hAnsi="宋体" w:cs="宋体"/>
                <w:sz w:val="18"/>
                <w:szCs w:val="18"/>
                <w:lang w:eastAsia="en-US"/>
              </w:rPr>
            </w:pPr>
            <w:bookmarkStart w:id="0" w:name="_GoBack"/>
            <w:bookmarkEnd w:id="0"/>
          </w:p>
        </w:tc>
        <w:tc>
          <w:tcPr>
            <w:tcW w:w="1530" w:type="dxa"/>
            <w:tcBorders>
              <w:top w:val="single" w:color="auto" w:sz="4" w:space="0"/>
              <w:left w:val="single" w:color="auto" w:sz="4" w:space="0"/>
              <w:bottom w:val="single" w:color="auto" w:sz="4" w:space="0"/>
              <w:right w:val="single" w:color="auto" w:sz="4" w:space="0"/>
            </w:tcBorders>
            <w:noWrap/>
            <w:vAlign w:val="center"/>
          </w:tcPr>
          <w:p w14:paraId="39A91B5E">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内容：1、对辖区内农业机械进行安全检查；2、对作业和转移过程中的农业机械进行安全检查。</w:t>
            </w:r>
          </w:p>
          <w:p w14:paraId="797AE2A7">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3C6DDFA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农业机械安全台账资料，拖拉机、联合收割机证书、牌照及有关操作证件等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4BF13987">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1、驾驶人持有效驾驶（操作）证；2、纳入牌证管理的农业机械持有效行驶证；3、驾驶（操作）人员无违法驾驶（操作）行为；4、农业机械安全技术状况良好。</w:t>
            </w:r>
          </w:p>
        </w:tc>
      </w:tr>
      <w:tr w14:paraId="2CAC50A3">
        <w:tblPrEx>
          <w:tblCellMar>
            <w:top w:w="0" w:type="dxa"/>
            <w:left w:w="108" w:type="dxa"/>
            <w:bottom w:w="0" w:type="dxa"/>
            <w:right w:w="108" w:type="dxa"/>
          </w:tblCellMar>
        </w:tblPrEx>
        <w:trPr>
          <w:trHeight w:val="32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45DAD004">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464" w:type="dxa"/>
            <w:tcBorders>
              <w:top w:val="single" w:color="auto" w:sz="4" w:space="0"/>
              <w:left w:val="single" w:color="auto" w:sz="4" w:space="0"/>
              <w:bottom w:val="single" w:color="auto" w:sz="4" w:space="0"/>
              <w:right w:val="single" w:color="auto" w:sz="4" w:space="0"/>
            </w:tcBorders>
            <w:noWrap/>
            <w:vAlign w:val="center"/>
          </w:tcPr>
          <w:p w14:paraId="573CAB46">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7448ADAF">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水产苗种生产许可证检查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26A55176">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渔业法》（1986年1月20日主席令第三十四号，2013年12月28日予以修改）第六条 国务院渔业行政主管部门主管全国的渔业工作。县级以上地方人民政府渔业行政主管部门主管本行政区域内的渔业工作。县级以上人民政府渔业行政主管部门可以在重要渔业水域、渔港设渔政监督管理机构。</w:t>
            </w:r>
          </w:p>
          <w:p w14:paraId="6C369244">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县级以上人民政府渔业行政主管部门及其所属的渔政监督管理机构可以设渔政检查人员。渔政检查人员执行渔业行政主管部门及其所属的渔政监督管理机构交付的任务。</w:t>
            </w:r>
          </w:p>
          <w:p w14:paraId="5B1455CE">
            <w:pPr>
              <w:spacing w:line="240" w:lineRule="exact"/>
              <w:jc w:val="left"/>
              <w:rPr>
                <w:rFonts w:hint="eastAsia" w:ascii="宋体" w:hAnsi="宋体" w:eastAsia="宋体" w:cs="宋体"/>
                <w:sz w:val="18"/>
                <w:szCs w:val="18"/>
                <w:lang w:eastAsia="zh-CN"/>
              </w:rPr>
            </w:pPr>
            <w:r>
              <w:rPr>
                <w:rFonts w:hint="eastAsia" w:ascii="宋体" w:hAnsi="宋体" w:cs="宋体"/>
                <w:sz w:val="18"/>
                <w:szCs w:val="18"/>
                <w:lang w:eastAsia="en-US"/>
              </w:rPr>
              <w:t>《水产苗种管理办法》（2005年1月5日农业部令第46号）第四条　农业部负责全国水产种质资源和水产苗种管理工作。县级以上地方人民政府渔业行政主管部门负责本行政区域内的水产种质资源和水产苗种管理工作</w:t>
            </w:r>
            <w:r>
              <w:rPr>
                <w:rFonts w:hint="eastAsia" w:ascii="宋体" w:hAnsi="宋体" w:cs="宋体"/>
                <w:sz w:val="18"/>
                <w:szCs w:val="18"/>
                <w:lang w:val="en-US" w:eastAsia="zh-CN"/>
              </w:rPr>
              <w:t xml:space="preserve"> 。</w:t>
            </w:r>
          </w:p>
        </w:tc>
        <w:tc>
          <w:tcPr>
            <w:tcW w:w="1530" w:type="dxa"/>
            <w:tcBorders>
              <w:top w:val="single" w:color="auto" w:sz="4" w:space="0"/>
              <w:left w:val="single" w:color="auto" w:sz="4" w:space="0"/>
              <w:bottom w:val="single" w:color="auto" w:sz="4" w:space="0"/>
              <w:right w:val="single" w:color="auto" w:sz="4" w:space="0"/>
            </w:tcBorders>
            <w:noWrap/>
            <w:vAlign w:val="center"/>
          </w:tcPr>
          <w:p w14:paraId="4ADA8F7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内容：是否依法取得水产苗种生产许可证；方式：现场检查。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07BC6B77">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水产苗种生产许可证情况、场地、水质、生产条件及设施、专业人员配备情况等</w:t>
            </w:r>
          </w:p>
        </w:tc>
        <w:tc>
          <w:tcPr>
            <w:tcW w:w="1486" w:type="dxa"/>
            <w:tcBorders>
              <w:top w:val="single" w:color="auto" w:sz="4" w:space="0"/>
              <w:left w:val="single" w:color="auto" w:sz="4" w:space="0"/>
              <w:bottom w:val="single" w:color="auto" w:sz="4" w:space="0"/>
              <w:right w:val="single" w:color="auto" w:sz="4" w:space="0"/>
            </w:tcBorders>
            <w:noWrap/>
            <w:vAlign w:val="center"/>
          </w:tcPr>
          <w:p w14:paraId="0C899A9F">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　执行相关法律、法规的情况</w:t>
            </w:r>
          </w:p>
        </w:tc>
      </w:tr>
      <w:tr w14:paraId="2C184D90">
        <w:tblPrEx>
          <w:tblCellMar>
            <w:top w:w="0" w:type="dxa"/>
            <w:left w:w="108" w:type="dxa"/>
            <w:bottom w:w="0" w:type="dxa"/>
            <w:right w:w="108" w:type="dxa"/>
          </w:tblCellMar>
        </w:tblPrEx>
        <w:trPr>
          <w:trHeight w:val="73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1E7CB129">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464" w:type="dxa"/>
            <w:tcBorders>
              <w:top w:val="single" w:color="auto" w:sz="4" w:space="0"/>
              <w:left w:val="single" w:color="auto" w:sz="4" w:space="0"/>
              <w:bottom w:val="single" w:color="auto" w:sz="4" w:space="0"/>
              <w:right w:val="single" w:color="auto" w:sz="4" w:space="0"/>
            </w:tcBorders>
            <w:noWrap/>
            <w:vAlign w:val="center"/>
          </w:tcPr>
          <w:p w14:paraId="62396C20">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2D2FF93B">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调运农业植物及其产品检查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770F9DD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植物检疫条例》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w:t>
            </w:r>
          </w:p>
          <w:p w14:paraId="7F9B3C6C">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2.《植物检疫条例》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14:paraId="45A82E84">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省、自治区、直辖市内调运植物和植物产品的检疫办法，由省、自治区、直辖市人民政府规定。</w:t>
            </w:r>
          </w:p>
        </w:tc>
        <w:tc>
          <w:tcPr>
            <w:tcW w:w="1530" w:type="dxa"/>
            <w:tcBorders>
              <w:top w:val="single" w:color="auto" w:sz="4" w:space="0"/>
              <w:left w:val="single" w:color="auto" w:sz="4" w:space="0"/>
              <w:bottom w:val="single" w:color="auto" w:sz="4" w:space="0"/>
              <w:right w:val="single" w:color="auto" w:sz="4" w:space="0"/>
            </w:tcBorders>
            <w:noWrap/>
            <w:vAlign w:val="center"/>
          </w:tcPr>
          <w:p w14:paraId="77984F57">
            <w:pPr>
              <w:spacing w:line="240" w:lineRule="exact"/>
              <w:jc w:val="left"/>
              <w:rPr>
                <w:rFonts w:hint="eastAsia" w:ascii="宋体" w:hAnsi="宋体" w:cs="宋体"/>
                <w:sz w:val="18"/>
                <w:szCs w:val="18"/>
                <w:lang w:eastAsia="en-US"/>
              </w:rPr>
            </w:pPr>
            <w:r>
              <w:rPr>
                <w:rFonts w:hint="eastAsia" w:ascii="宋体" w:hAnsi="宋体" w:cs="宋体"/>
                <w:sz w:val="18"/>
                <w:szCs w:val="18"/>
                <w:lang w:val="en-US" w:eastAsia="zh-CN"/>
              </w:rPr>
              <w:t>内容：</w:t>
            </w:r>
            <w:r>
              <w:rPr>
                <w:rFonts w:hint="eastAsia" w:ascii="宋体" w:hAnsi="宋体" w:cs="宋体"/>
                <w:sz w:val="18"/>
                <w:szCs w:val="18"/>
                <w:lang w:eastAsia="en-US"/>
              </w:rPr>
              <w:t>调运的种子种苗是否携带植物检疫证书，是否有产地检疫合格证。</w:t>
            </w:r>
            <w:r>
              <w:rPr>
                <w:rFonts w:hint="eastAsia" w:ascii="宋体" w:hAnsi="宋体" w:cs="宋体"/>
                <w:sz w:val="18"/>
                <w:szCs w:val="18"/>
                <w:lang w:val="en-US" w:eastAsia="zh-CN"/>
              </w:rPr>
              <w:t>方式：</w:t>
            </w:r>
            <w:r>
              <w:rPr>
                <w:rFonts w:hint="eastAsia" w:ascii="宋体" w:hAnsi="宋体" w:cs="宋体"/>
                <w:sz w:val="18"/>
                <w:szCs w:val="18"/>
                <w:lang w:eastAsia="en-US"/>
              </w:rPr>
              <w:t>现场检查。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306AC90D">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对调运农业植物及其产品的行政检查</w:t>
            </w:r>
          </w:p>
        </w:tc>
        <w:tc>
          <w:tcPr>
            <w:tcW w:w="1486" w:type="dxa"/>
            <w:tcBorders>
              <w:top w:val="single" w:color="auto" w:sz="4" w:space="0"/>
              <w:left w:val="single" w:color="auto" w:sz="4" w:space="0"/>
              <w:bottom w:val="single" w:color="auto" w:sz="4" w:space="0"/>
              <w:right w:val="single" w:color="auto" w:sz="4" w:space="0"/>
            </w:tcBorders>
            <w:noWrap/>
            <w:vAlign w:val="center"/>
          </w:tcPr>
          <w:p w14:paraId="63F673C3">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全国植物检疫平台出具的植物检疫证书和产地检疫合格编号</w:t>
            </w:r>
          </w:p>
        </w:tc>
      </w:tr>
      <w:tr w14:paraId="33226094">
        <w:tblPrEx>
          <w:tblCellMar>
            <w:top w:w="0" w:type="dxa"/>
            <w:left w:w="108" w:type="dxa"/>
            <w:bottom w:w="0" w:type="dxa"/>
            <w:right w:w="108" w:type="dxa"/>
          </w:tblCellMar>
        </w:tblPrEx>
        <w:trPr>
          <w:trHeight w:val="1792" w:hRule="atLeast"/>
        </w:trPr>
        <w:tc>
          <w:tcPr>
            <w:tcW w:w="855" w:type="dxa"/>
            <w:tcBorders>
              <w:top w:val="single" w:color="auto" w:sz="4" w:space="0"/>
              <w:left w:val="single" w:color="auto" w:sz="4" w:space="0"/>
              <w:bottom w:val="single" w:color="auto" w:sz="4" w:space="0"/>
              <w:right w:val="single" w:color="auto" w:sz="4" w:space="0"/>
            </w:tcBorders>
            <w:noWrap/>
            <w:vAlign w:val="center"/>
          </w:tcPr>
          <w:p w14:paraId="082518DC">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464" w:type="dxa"/>
            <w:tcBorders>
              <w:top w:val="single" w:color="auto" w:sz="4" w:space="0"/>
              <w:left w:val="single" w:color="auto" w:sz="4" w:space="0"/>
              <w:bottom w:val="single" w:color="auto" w:sz="4" w:space="0"/>
              <w:right w:val="single" w:color="auto" w:sz="4" w:space="0"/>
            </w:tcBorders>
            <w:noWrap/>
            <w:vAlign w:val="center"/>
          </w:tcPr>
          <w:p w14:paraId="2438FC2F">
            <w:pPr>
              <w:spacing w:line="240" w:lineRule="exact"/>
              <w:jc w:val="center"/>
              <w:rPr>
                <w:rFonts w:hint="eastAsia" w:ascii="宋体" w:hAnsi="宋体" w:cs="宋体"/>
                <w:sz w:val="18"/>
                <w:szCs w:val="18"/>
                <w:lang w:eastAsia="en-US"/>
              </w:rPr>
            </w:pPr>
            <w:r>
              <w:rPr>
                <w:rFonts w:hint="eastAsia" w:ascii="宋体" w:hAnsi="宋体" w:cs="宋体"/>
                <w:sz w:val="18"/>
                <w:szCs w:val="18"/>
                <w:lang w:val="en-US" w:eastAsia="zh-CN"/>
              </w:rPr>
              <w:t>长白县</w:t>
            </w:r>
            <w:r>
              <w:rPr>
                <w:rFonts w:hint="eastAsia" w:ascii="宋体" w:hAnsi="宋体" w:cs="宋体"/>
                <w:sz w:val="18"/>
                <w:szCs w:val="18"/>
                <w:lang w:eastAsia="en-US"/>
              </w:rPr>
              <w:t>农业农村局</w:t>
            </w:r>
          </w:p>
        </w:tc>
        <w:tc>
          <w:tcPr>
            <w:tcW w:w="1560" w:type="dxa"/>
            <w:tcBorders>
              <w:top w:val="single" w:color="auto" w:sz="4" w:space="0"/>
              <w:left w:val="single" w:color="auto" w:sz="4" w:space="0"/>
              <w:bottom w:val="single" w:color="auto" w:sz="4" w:space="0"/>
              <w:right w:val="single" w:color="auto" w:sz="4" w:space="0"/>
            </w:tcBorders>
            <w:noWrap/>
            <w:vAlign w:val="center"/>
          </w:tcPr>
          <w:p w14:paraId="68E57628">
            <w:pPr>
              <w:spacing w:line="240" w:lineRule="exact"/>
              <w:jc w:val="center"/>
              <w:rPr>
                <w:rFonts w:hint="eastAsia" w:ascii="宋体" w:hAnsi="宋体" w:cs="宋体"/>
                <w:sz w:val="18"/>
                <w:szCs w:val="18"/>
                <w:lang w:eastAsia="en-US"/>
              </w:rPr>
            </w:pPr>
            <w:r>
              <w:rPr>
                <w:rFonts w:hint="eastAsia" w:ascii="宋体" w:hAnsi="宋体" w:cs="宋体"/>
                <w:sz w:val="18"/>
                <w:szCs w:val="18"/>
                <w:lang w:eastAsia="en-US"/>
              </w:rPr>
              <w:t>跨省引进乳用、种用动物检查</w:t>
            </w:r>
          </w:p>
        </w:tc>
        <w:tc>
          <w:tcPr>
            <w:tcW w:w="5715" w:type="dxa"/>
            <w:tcBorders>
              <w:top w:val="single" w:color="auto" w:sz="4" w:space="0"/>
              <w:left w:val="single" w:color="auto" w:sz="4" w:space="0"/>
              <w:bottom w:val="single" w:color="auto" w:sz="4" w:space="0"/>
              <w:right w:val="single" w:color="auto" w:sz="4" w:space="0"/>
            </w:tcBorders>
            <w:noWrap/>
            <w:vAlign w:val="center"/>
          </w:tcPr>
          <w:p w14:paraId="4D198E5B">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1.《中华人民共和国动物防疫法》第七十四条：县级以上地方人民政府农业农村主管部门依照本法规定，对动物饲养、屠宰、经营、隔离、运输以及动物产品生产、经营、加工、贮藏、运输等活动中的动物防疫实施监督管理。</w:t>
            </w:r>
          </w:p>
          <w:p w14:paraId="148A3413">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2.《中华人民共和国动物防疫法》第七十六条：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p>
          <w:p w14:paraId="212F4C7C">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县级以上地方人民政府农业农村主管部门根据动物疫病预防、控制需要，经所在地县级以上地方人民政府批准，可以在车站、港口、机场等相关场所派驻官方兽医或者工作人员。</w:t>
            </w:r>
          </w:p>
        </w:tc>
        <w:tc>
          <w:tcPr>
            <w:tcW w:w="1530" w:type="dxa"/>
            <w:tcBorders>
              <w:top w:val="single" w:color="auto" w:sz="4" w:space="0"/>
              <w:left w:val="single" w:color="auto" w:sz="4" w:space="0"/>
              <w:bottom w:val="single" w:color="auto" w:sz="4" w:space="0"/>
              <w:right w:val="single" w:color="auto" w:sz="4" w:space="0"/>
            </w:tcBorders>
            <w:noWrap/>
            <w:vAlign w:val="center"/>
          </w:tcPr>
          <w:p w14:paraId="520D7087">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内容：是否持有有效的检疫合格证明、动物运输检查站印章、动物是否健康、是否符合调运规定。</w:t>
            </w:r>
          </w:p>
          <w:p w14:paraId="65B49EB5">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方式：现场检查，书面检查，网络检查</w:t>
            </w:r>
          </w:p>
        </w:tc>
        <w:tc>
          <w:tcPr>
            <w:tcW w:w="1635" w:type="dxa"/>
            <w:tcBorders>
              <w:top w:val="single" w:color="auto" w:sz="4" w:space="0"/>
              <w:left w:val="single" w:color="auto" w:sz="4" w:space="0"/>
              <w:bottom w:val="single" w:color="auto" w:sz="4" w:space="0"/>
              <w:right w:val="single" w:color="auto" w:sz="4" w:space="0"/>
            </w:tcBorders>
            <w:noWrap/>
            <w:vAlign w:val="center"/>
          </w:tcPr>
          <w:p w14:paraId="104B166E">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对跨省引进乳用、种用动物的行政检查</w:t>
            </w:r>
          </w:p>
        </w:tc>
        <w:tc>
          <w:tcPr>
            <w:tcW w:w="1486" w:type="dxa"/>
            <w:tcBorders>
              <w:top w:val="single" w:color="auto" w:sz="4" w:space="0"/>
              <w:left w:val="single" w:color="auto" w:sz="4" w:space="0"/>
              <w:bottom w:val="single" w:color="auto" w:sz="4" w:space="0"/>
              <w:right w:val="single" w:color="auto" w:sz="4" w:space="0"/>
            </w:tcBorders>
            <w:noWrap/>
            <w:vAlign w:val="center"/>
          </w:tcPr>
          <w:p w14:paraId="4F09BED5">
            <w:pPr>
              <w:spacing w:line="240" w:lineRule="exact"/>
              <w:jc w:val="left"/>
              <w:rPr>
                <w:rFonts w:hint="eastAsia" w:ascii="宋体" w:hAnsi="宋体" w:cs="宋体"/>
                <w:sz w:val="18"/>
                <w:szCs w:val="18"/>
                <w:lang w:eastAsia="en-US"/>
              </w:rPr>
            </w:pPr>
            <w:r>
              <w:rPr>
                <w:rFonts w:hint="eastAsia" w:ascii="宋体" w:hAnsi="宋体" w:cs="宋体"/>
                <w:sz w:val="18"/>
                <w:szCs w:val="18"/>
                <w:lang w:eastAsia="en-US"/>
              </w:rPr>
              <w:t>符合《中华人民共和国动物防疫法》等法律法规及相关管理文件要求。</w:t>
            </w:r>
          </w:p>
        </w:tc>
      </w:tr>
    </w:tbl>
    <w:p w14:paraId="0A671470"/>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21F42"/>
    <w:multiLevelType w:val="singleLevel"/>
    <w:tmpl w:val="C7A21F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M2Y4ZDVhMDM5MjRmNjA0OTE3NzA2OTM0MjQxODAifQ=="/>
  </w:docVars>
  <w:rsids>
    <w:rsidRoot w:val="004B5144"/>
    <w:rsid w:val="00042812"/>
    <w:rsid w:val="000433D4"/>
    <w:rsid w:val="00097C97"/>
    <w:rsid w:val="000E3047"/>
    <w:rsid w:val="001E6FFB"/>
    <w:rsid w:val="00294E0F"/>
    <w:rsid w:val="003450C2"/>
    <w:rsid w:val="00380928"/>
    <w:rsid w:val="003D4542"/>
    <w:rsid w:val="004B5144"/>
    <w:rsid w:val="004B7884"/>
    <w:rsid w:val="005A0E7E"/>
    <w:rsid w:val="00666AE9"/>
    <w:rsid w:val="0083225E"/>
    <w:rsid w:val="009F4E24"/>
    <w:rsid w:val="00BD6394"/>
    <w:rsid w:val="00D31346"/>
    <w:rsid w:val="05E750C7"/>
    <w:rsid w:val="08C06E54"/>
    <w:rsid w:val="09095B31"/>
    <w:rsid w:val="0E281132"/>
    <w:rsid w:val="192903C1"/>
    <w:rsid w:val="29993544"/>
    <w:rsid w:val="2C66797F"/>
    <w:rsid w:val="362D35B5"/>
    <w:rsid w:val="46A539C0"/>
    <w:rsid w:val="57BB670B"/>
    <w:rsid w:val="7C313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10250</Words>
  <Characters>10320</Characters>
  <Lines>109</Lines>
  <Paragraphs>30</Paragraphs>
  <TotalTime>268</TotalTime>
  <ScaleCrop>false</ScaleCrop>
  <LinksUpToDate>false</LinksUpToDate>
  <CharactersWithSpaces>11388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2024-08-15T07:08:00Z</dcterms:created>
  <dc:creator>王福乾</dc:creator>
  <cp:lastModifiedBy>Administrator</cp:lastModifiedBy>
  <cp:lastPrinted>2025-04-30T01:35:43Z</cp:lastPrinted>
  <dcterms:modified xsi:type="dcterms:W3CDTF">2025-04-30T01:46:16Z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70E4E52373EA48479F8D097D5FBB5982_13</vt:lpwstr>
  </property>
  <property fmtid="{D5CDD505-2E9C-101B-9397-08002B2CF9AE}" pid="4" name="KSOTemplateDocerSaveRecord">
    <vt:lpwstr>eyJoZGlkIjoiYTk1M2JlMDBiMzlmYzUxNzdmZGNhYjliMzJjYjBiOWYifQ==</vt:lpwstr>
  </property>
</Properties>
</file>