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3F27">
      <w:pPr>
        <w:pStyle w:val="4"/>
        <w:adjustRightInd w:val="0"/>
        <w:snapToGrid w:val="0"/>
        <w:spacing w:line="560" w:lineRule="exact"/>
        <w:ind w:firstLine="0" w:firstLineChars="0"/>
        <w:rPr>
          <w:rFonts w:ascii="仿宋" w:hAnsi="仿宋" w:cs="仿宋"/>
          <w:color w:val="auto"/>
          <w:sz w:val="28"/>
          <w:szCs w:val="28"/>
        </w:rPr>
      </w:pPr>
      <w:r>
        <w:rPr>
          <w:rFonts w:ascii="方正黑体_GBK" w:eastAsia="方正黑体_GBK"/>
          <w:snapToGrid w:val="0"/>
          <w:color w:val="auto"/>
          <w:kern w:val="0"/>
          <w:sz w:val="32"/>
          <w:szCs w:val="32"/>
        </w:rPr>
        <w:t>附件</w:t>
      </w:r>
      <w:r>
        <w:rPr>
          <w:rFonts w:eastAsia="方正仿宋_GBK"/>
          <w:snapToGrid w:val="0"/>
          <w:color w:val="auto"/>
          <w:kern w:val="0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 </w:t>
      </w:r>
    </w:p>
    <w:p w14:paraId="35731915">
      <w:pPr>
        <w:pStyle w:val="4"/>
        <w:adjustRightInd w:val="0"/>
        <w:snapToGrid w:val="0"/>
        <w:spacing w:line="560" w:lineRule="exact"/>
        <w:ind w:firstLine="0" w:firstLineChars="0"/>
        <w:rPr>
          <w:rFonts w:ascii="仿宋" w:hAnsi="仿宋" w:cs="仿宋"/>
          <w:color w:val="auto"/>
          <w:sz w:val="28"/>
          <w:szCs w:val="28"/>
        </w:rPr>
      </w:pPr>
    </w:p>
    <w:p w14:paraId="0C1281ED">
      <w:pPr>
        <w:pStyle w:val="4"/>
        <w:adjustRightInd w:val="0"/>
        <w:snapToGrid w:val="0"/>
        <w:spacing w:line="680" w:lineRule="exact"/>
        <w:ind w:firstLine="0" w:firstLineChars="0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  <w:t>辐射事故初始报告表</w:t>
      </w:r>
    </w:p>
    <w:p w14:paraId="3921F86B">
      <w:pPr>
        <w:pStyle w:val="4"/>
        <w:adjustRightInd w:val="0"/>
        <w:snapToGrid w:val="0"/>
        <w:spacing w:line="560" w:lineRule="exact"/>
        <w:ind w:firstLine="0" w:firstLineChars="0"/>
        <w:rPr>
          <w:rFonts w:hint="default" w:ascii="仿宋" w:hAnsi="仿宋" w:eastAsia="仿宋" w:cs="仿宋"/>
          <w:color w:val="auto"/>
          <w:sz w:val="28"/>
          <w:szCs w:val="28"/>
        </w:rPr>
      </w:pPr>
    </w:p>
    <w:tbl>
      <w:tblPr>
        <w:tblStyle w:val="2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38"/>
        <w:gridCol w:w="3888"/>
        <w:gridCol w:w="2246"/>
      </w:tblGrid>
      <w:tr w14:paraId="548A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76" w:type="dxa"/>
            <w:gridSpan w:val="2"/>
            <w:noWrap w:val="0"/>
            <w:vAlign w:val="center"/>
          </w:tcPr>
          <w:p w14:paraId="0F2BEF7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辐射事故责任单位</w:t>
            </w:r>
          </w:p>
        </w:tc>
        <w:tc>
          <w:tcPr>
            <w:tcW w:w="3888" w:type="dxa"/>
            <w:noWrap w:val="0"/>
            <w:vAlign w:val="center"/>
          </w:tcPr>
          <w:p w14:paraId="20007E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noWrap w:val="0"/>
            <w:vAlign w:val="center"/>
          </w:tcPr>
          <w:p w14:paraId="070EB89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通告编号：</w:t>
            </w:r>
          </w:p>
        </w:tc>
      </w:tr>
      <w:tr w14:paraId="1DF2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76" w:type="dxa"/>
            <w:gridSpan w:val="2"/>
            <w:noWrap w:val="0"/>
            <w:vAlign w:val="center"/>
          </w:tcPr>
          <w:p w14:paraId="62DA801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3888" w:type="dxa"/>
            <w:noWrap w:val="0"/>
            <w:vAlign w:val="center"/>
          </w:tcPr>
          <w:p w14:paraId="3BF06FE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noWrap w:val="0"/>
            <w:vAlign w:val="center"/>
          </w:tcPr>
          <w:p w14:paraId="421CA0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F21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3476" w:type="dxa"/>
            <w:gridSpan w:val="2"/>
            <w:noWrap w:val="0"/>
            <w:vAlign w:val="center"/>
          </w:tcPr>
          <w:p w14:paraId="5342BC9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888" w:type="dxa"/>
            <w:noWrap w:val="0"/>
            <w:vAlign w:val="center"/>
          </w:tcPr>
          <w:p w14:paraId="78B67AA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noWrap w:val="0"/>
            <w:vAlign w:val="center"/>
          </w:tcPr>
          <w:p w14:paraId="392D4C7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5E0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3476" w:type="dxa"/>
            <w:gridSpan w:val="2"/>
            <w:noWrap w:val="0"/>
            <w:vAlign w:val="center"/>
          </w:tcPr>
          <w:p w14:paraId="6B18D5F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事故名称</w:t>
            </w:r>
          </w:p>
        </w:tc>
        <w:tc>
          <w:tcPr>
            <w:tcW w:w="6134" w:type="dxa"/>
            <w:gridSpan w:val="2"/>
            <w:noWrap w:val="0"/>
            <w:vAlign w:val="center"/>
          </w:tcPr>
          <w:p w14:paraId="3F4B8D0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FFB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8" w:type="dxa"/>
            <w:vMerge w:val="restart"/>
            <w:noWrap w:val="0"/>
            <w:vAlign w:val="center"/>
          </w:tcPr>
          <w:p w14:paraId="11A0968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事故发生地点和时间</w:t>
            </w:r>
          </w:p>
        </w:tc>
        <w:tc>
          <w:tcPr>
            <w:tcW w:w="1738" w:type="dxa"/>
            <w:noWrap w:val="0"/>
            <w:vAlign w:val="center"/>
          </w:tcPr>
          <w:p w14:paraId="4F2FA15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事故发生时间</w:t>
            </w:r>
          </w:p>
        </w:tc>
        <w:tc>
          <w:tcPr>
            <w:tcW w:w="6134" w:type="dxa"/>
            <w:gridSpan w:val="2"/>
            <w:noWrap w:val="0"/>
            <w:vAlign w:val="center"/>
          </w:tcPr>
          <w:p w14:paraId="7EBA8BFF">
            <w:pPr>
              <w:spacing w:line="400" w:lineRule="exact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 月     日   时     分</w:t>
            </w:r>
          </w:p>
        </w:tc>
      </w:tr>
      <w:tr w14:paraId="5D83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38" w:type="dxa"/>
            <w:vMerge w:val="continue"/>
            <w:noWrap w:val="0"/>
            <w:vAlign w:val="center"/>
          </w:tcPr>
          <w:p w14:paraId="7118452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943BFD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出事地点</w:t>
            </w:r>
          </w:p>
        </w:tc>
        <w:tc>
          <w:tcPr>
            <w:tcW w:w="6134" w:type="dxa"/>
            <w:gridSpan w:val="2"/>
            <w:noWrap w:val="0"/>
            <w:vAlign w:val="center"/>
          </w:tcPr>
          <w:p w14:paraId="5E935FD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21A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38" w:type="dxa"/>
            <w:noWrap w:val="0"/>
            <w:vAlign w:val="center"/>
          </w:tcPr>
          <w:p w14:paraId="3DDADD0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事故种类</w:t>
            </w:r>
          </w:p>
        </w:tc>
        <w:tc>
          <w:tcPr>
            <w:tcW w:w="7872" w:type="dxa"/>
            <w:gridSpan w:val="3"/>
            <w:noWrap w:val="0"/>
            <w:vAlign w:val="center"/>
          </w:tcPr>
          <w:p w14:paraId="156D6A2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核技术利用            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>铀矿冶炼开发利用</w:t>
            </w:r>
          </w:p>
          <w:p w14:paraId="1D86ACD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放射性物质运输        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>其他</w:t>
            </w:r>
          </w:p>
        </w:tc>
      </w:tr>
      <w:tr w14:paraId="0C0D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738" w:type="dxa"/>
            <w:noWrap w:val="0"/>
            <w:vAlign w:val="center"/>
          </w:tcPr>
          <w:p w14:paraId="0C14A0F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事故源项情况</w:t>
            </w:r>
          </w:p>
        </w:tc>
        <w:tc>
          <w:tcPr>
            <w:tcW w:w="7872" w:type="dxa"/>
            <w:gridSpan w:val="3"/>
            <w:noWrap w:val="0"/>
            <w:vAlign w:val="center"/>
          </w:tcPr>
          <w:p w14:paraId="099116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43F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738" w:type="dxa"/>
            <w:noWrap w:val="0"/>
            <w:vAlign w:val="center"/>
          </w:tcPr>
          <w:p w14:paraId="455EA3E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事故初步定级</w:t>
            </w:r>
          </w:p>
        </w:tc>
        <w:tc>
          <w:tcPr>
            <w:tcW w:w="7872" w:type="dxa"/>
            <w:gridSpan w:val="3"/>
            <w:noWrap w:val="0"/>
            <w:vAlign w:val="center"/>
          </w:tcPr>
          <w:p w14:paraId="3861E83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一般辐射事故           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>较大辐射事故</w:t>
            </w:r>
          </w:p>
          <w:p w14:paraId="5C1274D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重大辐射事故                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>特别重大辐射事故</w:t>
            </w:r>
          </w:p>
        </w:tc>
      </w:tr>
      <w:tr w14:paraId="7E28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9610" w:type="dxa"/>
            <w:gridSpan w:val="4"/>
            <w:noWrap w:val="0"/>
            <w:vAlign w:val="top"/>
          </w:tcPr>
          <w:p w14:paraId="0CE779B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事故概况，已采取和计划的应急措施和响应行动（简述）：</w:t>
            </w:r>
          </w:p>
        </w:tc>
      </w:tr>
      <w:tr w14:paraId="0D54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9610" w:type="dxa"/>
            <w:gridSpan w:val="4"/>
            <w:noWrap w:val="0"/>
            <w:vAlign w:val="center"/>
          </w:tcPr>
          <w:p w14:paraId="5F33ACE5">
            <w:pPr>
              <w:spacing w:line="40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编制（签名）：                年    月    日    时    分</w:t>
            </w:r>
          </w:p>
          <w:p w14:paraId="221C04AF">
            <w:pPr>
              <w:spacing w:line="40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审核（签名）：                年    月    日    时    分</w:t>
            </w:r>
          </w:p>
          <w:p w14:paraId="277925B7">
            <w:pPr>
              <w:spacing w:line="40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批准（签名）：                年    月    日    时    分</w:t>
            </w:r>
          </w:p>
        </w:tc>
      </w:tr>
    </w:tbl>
    <w:p w14:paraId="60D40B63">
      <w:pPr>
        <w:pStyle w:val="4"/>
        <w:adjustRightInd w:val="0"/>
        <w:snapToGrid w:val="0"/>
        <w:spacing w:line="400" w:lineRule="exact"/>
        <w:ind w:firstLine="0" w:firstLineChars="0"/>
        <w:rPr>
          <w:rFonts w:ascii="方正仿宋_GBK" w:eastAsia="方正仿宋_GBK"/>
          <w:bCs/>
          <w:color w:val="auto"/>
          <w:kern w:val="0"/>
          <w:lang w:bidi="ar"/>
        </w:rPr>
      </w:pPr>
      <w:r>
        <w:rPr>
          <w:rFonts w:ascii="方正仿宋_GBK" w:eastAsia="方正仿宋_GBK"/>
          <w:bCs/>
          <w:color w:val="auto"/>
          <w:kern w:val="0"/>
          <w:lang w:bidi="ar"/>
        </w:rPr>
        <w:t>注：初始报告时，由于时间及权限原因不能确定的信息可空缺。</w:t>
      </w:r>
    </w:p>
    <w:p w14:paraId="059391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66F33"/>
    <w:rsid w:val="30E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泽盛正文小四"/>
    <w:basedOn w:val="1"/>
    <w:qFormat/>
    <w:uiPriority w:val="0"/>
    <w:pPr>
      <w:widowControl/>
      <w:spacing w:line="360" w:lineRule="auto"/>
      <w:ind w:firstLine="643" w:firstLineChars="200"/>
      <w:jc w:val="left"/>
    </w:pPr>
    <w:rPr>
      <w:rFonts w:hint="eastAsia" w:eastAsia="宋体"/>
      <w:snapToGrid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2024-12-13T08:19:00Z</dcterms:created>
  <dc:creator>柚稚</dc:creator>
  <cp:lastModifiedBy>柚稚</cp:lastModifiedBy>
  <dcterms:modified xsi:type="dcterms:W3CDTF">2024-12-13T08:19:47Z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0B4D1B2DF4AE4BC79F2BBDC8877B2078_11</vt:lpwstr>
  </property>
</Properties>
</file>