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ascii="方正公文小标宋" w:eastAsia="方正公文小标宋"/>
          <w:b w:val="0"/>
          <w:sz w:val="84"/>
          <w:szCs w:val="84"/>
          <w:lang w:eastAsia="zh-CN"/>
        </w:rPr>
      </w:pPr>
    </w:p>
    <w:p>
      <w:pPr>
        <w:pStyle w:val="2"/>
        <w:jc w:val="left"/>
        <w:rPr>
          <w:rFonts w:ascii="方正公文小标宋" w:eastAsia="方正公文小标宋"/>
          <w:b w:val="0"/>
          <w:sz w:val="84"/>
          <w:szCs w:val="84"/>
          <w:lang w:eastAsia="zh-CN"/>
        </w:rPr>
      </w:pP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吉林省白山市长白朝鲜族自治县</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金华乡人民政府履行职责事项清</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单</w:t>
      </w:r>
    </w:p>
    <w:p>
      <w:pPr>
        <w:rPr>
          <w:rFonts w:ascii="方正公文小标宋" w:eastAsia="方正公文小标宋"/>
          <w:sz w:val="84"/>
          <w:szCs w:val="84"/>
          <w:lang w:eastAsia="zh-CN"/>
        </w:rPr>
      </w:pPr>
    </w:p>
    <w:p>
      <w:pPr>
        <w:pStyle w:val="19"/>
        <w:jc w:val="center"/>
        <w:rPr>
          <w:rFonts w:ascii="Times New Roman" w:hAnsi="Times New Roman" w:eastAsia="Arial" w:cs="Times New Roman"/>
          <w:snapToGrid w:val="0"/>
          <w:color w:val="000000"/>
          <w:sz w:val="21"/>
          <w:szCs w:val="21"/>
          <w:lang w:val="zh-CN" w:eastAsia="en-US"/>
        </w:rPr>
        <w:sectPr>
          <w:footerReference r:id="rId3" w:type="default"/>
          <w:pgSz w:w="16837" w:h="11905" w:orient="landscape"/>
          <w:pgMar w:top="1418" w:right="1418" w:bottom="1418" w:left="1418" w:header="851" w:footer="907" w:gutter="0"/>
          <w:pgNumType w:fmt="decimal" w:start="1"/>
          <w:cols w:space="720" w:num="1"/>
          <w:docGrid w:linePitch="312" w:charSpace="0"/>
        </w:sectPr>
      </w:pPr>
    </w:p>
    <w:sdt>
      <w:sdtPr>
        <w:rPr>
          <w:rFonts w:ascii="Times New Roman" w:hAnsi="Times New Roman" w:eastAsia="Arial" w:cs="Times New Roman"/>
          <w:snapToGrid w:val="0"/>
          <w:color w:val="000000"/>
          <w:sz w:val="21"/>
          <w:szCs w:val="21"/>
          <w:lang w:val="zh-CN" w:eastAsia="en-US"/>
        </w:rPr>
        <w:id w:val="1172384030"/>
        <w:docPartObj>
          <w:docPartGallery w:val="Table of Contents"/>
          <w:docPartUnique/>
        </w:docPartObj>
      </w:sdtPr>
      <w:sdtEndPr>
        <w:rPr>
          <w:rFonts w:ascii="Times New Roman" w:hAnsi="Times New Roman" w:eastAsia="方正公文仿宋" w:cs="Times New Roman"/>
          <w:b/>
          <w:bCs/>
          <w:snapToGrid w:val="0"/>
          <w:color w:val="000000"/>
          <w:sz w:val="32"/>
          <w:szCs w:val="21"/>
          <w:lang w:val="zh-CN" w:eastAsia="en-US"/>
        </w:rPr>
      </w:sdtEndPr>
      <w:sdtContent>
        <w:p>
          <w:pPr>
            <w:pStyle w:val="19"/>
            <w:jc w:val="center"/>
            <w:rPr>
              <w:rFonts w:ascii="Times New Roman" w:hAnsi="Times New Roman" w:eastAsia="方正公文小标宋" w:cs="Times New Roman"/>
              <w:color w:val="auto"/>
              <w:sz w:val="44"/>
              <w:szCs w:val="44"/>
              <w:lang w:val="zh-CN"/>
            </w:rPr>
          </w:pPr>
          <w:r>
            <w:rPr>
              <w:rFonts w:ascii="Times New Roman" w:hAnsi="Times New Roman" w:eastAsia="方正公文小标宋" w:cs="Times New Roman"/>
              <w:color w:val="auto"/>
              <w:sz w:val="44"/>
              <w:szCs w:val="44"/>
              <w:lang w:val="zh-CN"/>
            </w:rPr>
            <w:t>目</w:t>
          </w:r>
          <w:r>
            <w:rPr>
              <w:rFonts w:hint="eastAsia" w:ascii="Times New Roman" w:hAnsi="Times New Roman" w:eastAsia="方正公文小标宋" w:cs="Times New Roman"/>
              <w:color w:val="auto"/>
              <w:sz w:val="44"/>
              <w:szCs w:val="44"/>
              <w:lang w:val="zh-CN"/>
            </w:rPr>
            <w:t xml:space="preserve">  </w:t>
          </w:r>
          <w:r>
            <w:rPr>
              <w:rFonts w:ascii="Times New Roman" w:hAnsi="Times New Roman" w:eastAsia="方正公文小标宋" w:cs="Times New Roman"/>
              <w:color w:val="auto"/>
              <w:sz w:val="44"/>
              <w:szCs w:val="44"/>
              <w:lang w:val="zh-CN"/>
            </w:rPr>
            <w:t>录</w:t>
          </w:r>
        </w:p>
        <w:p>
          <w:pPr>
            <w:rPr>
              <w:rFonts w:hint="eastAsia" w:eastAsiaTheme="minorEastAsia"/>
              <w:lang w:val="zh-CN" w:eastAsia="zh-CN"/>
            </w:rPr>
          </w:pPr>
        </w:p>
        <w:p>
          <w:pPr>
            <w:pStyle w:val="7"/>
            <w:tabs>
              <w:tab w:val="right" w:pos="13991"/>
            </w:tabs>
            <w:rPr>
              <w:rFonts w:cs="Times New Roman" w:eastAsiaTheme="minorEastAsia"/>
              <w:snapToGrid/>
              <w:color w:val="auto"/>
              <w:kern w:val="2"/>
              <w:sz w:val="21"/>
              <w:szCs w:val="22"/>
              <w:lang w:eastAsia="zh-CN"/>
            </w:rPr>
          </w:pPr>
          <w:r>
            <w:rPr>
              <w:rFonts w:cs="Times New Roman"/>
              <w:szCs w:val="32"/>
            </w:rPr>
            <w:fldChar w:fldCharType="begin"/>
          </w:r>
          <w:r>
            <w:rPr>
              <w:rFonts w:cs="Times New Roman"/>
              <w:szCs w:val="32"/>
            </w:rPr>
            <w:instrText xml:space="preserve"> TOC \o "1-3" \n \h \z \u </w:instrText>
          </w:r>
          <w:r>
            <w:rPr>
              <w:rFonts w:cs="Times New Roman"/>
              <w:szCs w:val="32"/>
            </w:rPr>
            <w:fldChar w:fldCharType="separate"/>
          </w:r>
          <w:r>
            <w:fldChar w:fldCharType="begin"/>
          </w:r>
          <w:r>
            <w:instrText xml:space="preserve"> HYPERLINK \l "_Toc172533652" </w:instrText>
          </w:r>
          <w:r>
            <w:fldChar w:fldCharType="separate"/>
          </w:r>
          <w:r>
            <w:rPr>
              <w:rStyle w:val="11"/>
              <w:rFonts w:eastAsia="方正公文小标宋" w:cs="Times New Roman"/>
              <w:lang w:eastAsia="zh-CN"/>
            </w:rPr>
            <w:t>基本</w:t>
          </w:r>
          <w:r>
            <w:rPr>
              <w:rStyle w:val="11"/>
              <w:rFonts w:hint="eastAsia" w:eastAsia="方正公文小标宋" w:cs="Times New Roman"/>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rPr>
              <w:rFonts w:cs="Times New Roman" w:eastAsiaTheme="minorEastAsia"/>
              <w:snapToGrid/>
              <w:color w:val="auto"/>
              <w:kern w:val="2"/>
              <w:sz w:val="21"/>
              <w:szCs w:val="22"/>
              <w:lang w:eastAsia="zh-CN"/>
            </w:rPr>
          </w:pPr>
          <w:r>
            <w:fldChar w:fldCharType="begin"/>
          </w:r>
          <w:r>
            <w:instrText xml:space="preserve"> HYPERLINK \l "_Toc172533653" </w:instrText>
          </w:r>
          <w:r>
            <w:fldChar w:fldCharType="separate"/>
          </w:r>
          <w:r>
            <w:rPr>
              <w:rStyle w:val="11"/>
              <w:rFonts w:eastAsia="方正公文小标宋" w:cs="Times New Roman"/>
              <w:lang w:eastAsia="zh-CN"/>
            </w:rPr>
            <w:t>配合</w:t>
          </w:r>
          <w:r>
            <w:rPr>
              <w:rStyle w:val="11"/>
              <w:rFonts w:hint="eastAsia" w:eastAsia="方正公文小标宋" w:cs="Times New Roman"/>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rPr>
              <w:rFonts w:cs="Times New Roman"/>
              <w:b/>
              <w:bCs/>
              <w:lang w:val="zh-CN"/>
            </w:rPr>
          </w:pPr>
          <w:r>
            <w:fldChar w:fldCharType="begin"/>
          </w:r>
          <w:r>
            <w:instrText xml:space="preserve"> HYPERLINK \l "_Toc172533654" </w:instrText>
          </w:r>
          <w:r>
            <w:fldChar w:fldCharType="separate"/>
          </w:r>
          <w:r>
            <w:rPr>
              <w:rStyle w:val="11"/>
              <w:rFonts w:hint="eastAsia" w:eastAsia="方正公文小标宋" w:cs="Times New Roman"/>
              <w:lang w:eastAsia="zh-CN"/>
            </w:rPr>
            <w:t>上级部门收回事项清单</w:t>
          </w:r>
          <w:r>
            <w:rPr>
              <w:rStyle w:val="11"/>
              <w:rFonts w:hint="eastAsia" w:eastAsia="方正公文小标宋" w:cs="Times New Roman"/>
              <w:lang w:eastAsia="zh-CN"/>
            </w:rPr>
            <w:fldChar w:fldCharType="end"/>
          </w:r>
          <w:r>
            <w:rPr>
              <w:rFonts w:cs="Times New Roman"/>
              <w:szCs w:val="32"/>
            </w:rPr>
            <w:fldChar w:fldCharType="end"/>
          </w:r>
        </w:p>
      </w:sdtContent>
    </w:sdt>
    <w:p>
      <w:pPr>
        <w:pStyle w:val="2"/>
        <w:jc w:val="both"/>
        <w:rPr>
          <w:rFonts w:ascii="Times New Roman" w:hAnsi="Times New Roman" w:eastAsia="方正小标宋_GBK" w:cs="Times New Roman"/>
          <w:color w:val="auto"/>
          <w:spacing w:val="7"/>
          <w:sz w:val="44"/>
          <w:szCs w:val="44"/>
          <w:lang w:eastAsia="zh-CN"/>
        </w:rPr>
      </w:pPr>
    </w:p>
    <w:p>
      <w:pPr>
        <w:jc w:val="center"/>
        <w:rPr>
          <w:rFonts w:hint="eastAsia" w:eastAsiaTheme="minorEastAsia"/>
          <w:lang w:eastAsia="zh-CN"/>
        </w:rPr>
        <w:sectPr>
          <w:footerReference r:id="rId4" w:type="default"/>
          <w:pgSz w:w="16837" w:h="11905" w:orient="landscape"/>
          <w:pgMar w:top="1418" w:right="1418" w:bottom="1418" w:left="1418" w:header="851" w:footer="907" w:gutter="0"/>
          <w:pgNumType w:fmt="decimal" w:start="1"/>
          <w:cols w:space="720" w:num="1"/>
          <w:docGrid w:linePitch="312" w:charSpace="0"/>
        </w:sectPr>
      </w:pPr>
      <w:r>
        <w:rPr>
          <w:rStyle w:val="11"/>
          <w:rFonts w:hint="default" w:ascii="Times New Roman" w:hAnsi="Times New Roman" w:eastAsia="方正公文小标宋" w:cs="Times New Roman"/>
          <w:color w:val="auto"/>
          <w:sz w:val="32"/>
          <w:u w:val="none"/>
          <w:lang w:val="en-US" w:eastAsia="zh-CN"/>
        </w:rPr>
        <w:t xml:space="preserve"> </w:t>
      </w:r>
    </w:p>
    <w:p>
      <w:pPr>
        <w:pStyle w:val="3"/>
        <w:spacing w:before="0" w:after="0" w:line="240" w:lineRule="auto"/>
        <w:jc w:val="center"/>
        <w:rPr>
          <w:rFonts w:ascii="Times New Roman" w:hAnsi="Times New Roman" w:eastAsia="方正公文小标宋" w:cs="Times New Roman"/>
          <w:b w:val="0"/>
          <w:color w:val="auto"/>
          <w:spacing w:val="7"/>
          <w:lang w:eastAsia="zh-CN"/>
        </w:rPr>
      </w:pPr>
      <w:bookmarkStart w:id="0" w:name="_Toc172077551"/>
      <w:bookmarkStart w:id="1" w:name="_Toc172077416"/>
      <w:bookmarkStart w:id="2" w:name="_Toc172533652"/>
      <w:bookmarkStart w:id="3" w:name="_Toc172077949"/>
      <w:r>
        <w:rPr>
          <w:rFonts w:ascii="Times New Roman" w:hAnsi="Times New Roman" w:eastAsia="方正公文小标宋" w:cs="Times New Roman"/>
          <w:b w:val="0"/>
          <w:lang w:eastAsia="zh-CN"/>
        </w:rPr>
        <w:t>基本</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0"/>
      <w:bookmarkEnd w:id="1"/>
      <w:bookmarkEnd w:id="2"/>
      <w:bookmarkEnd w:id="3"/>
    </w:p>
    <w:tbl>
      <w:tblPr>
        <w:tblStyle w:val="8"/>
        <w:tblW w:w="14045" w:type="dxa"/>
        <w:tblInd w:w="96" w:type="dxa"/>
        <w:tblLayout w:type="autofit"/>
        <w:tblCellMar>
          <w:top w:w="0" w:type="dxa"/>
          <w:left w:w="108" w:type="dxa"/>
          <w:bottom w:w="0" w:type="dxa"/>
          <w:right w:w="108" w:type="dxa"/>
        </w:tblCellMar>
      </w:tblPr>
      <w:tblGrid>
        <w:gridCol w:w="712"/>
        <w:gridCol w:w="13333"/>
      </w:tblGrid>
      <w:tr>
        <w:tblPrEx>
          <w:tblCellMar>
            <w:top w:w="0" w:type="dxa"/>
            <w:left w:w="108" w:type="dxa"/>
            <w:bottom w:w="0" w:type="dxa"/>
            <w:right w:w="108" w:type="dxa"/>
          </w:tblCellMar>
        </w:tblPrEx>
        <w:trPr>
          <w:cantSplit/>
          <w:trHeight w:val="658" w:hRule="atLeast"/>
          <w:tblHeader/>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lang w:bidi="ar"/>
              </w:rPr>
              <w:t>序号</w:t>
            </w:r>
          </w:p>
        </w:tc>
        <w:tc>
          <w:tcPr>
            <w:tcW w:w="1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hint="eastAsia" w:ascii="Times New Roman" w:hAnsi="Times New Roman" w:eastAsia="方正公文黑体"/>
                <w:lang w:eastAsia="zh-CN" w:bidi="ar"/>
              </w:rPr>
              <w:t>事项</w:t>
            </w:r>
            <w:r>
              <w:rPr>
                <w:rFonts w:ascii="Times New Roman" w:hAnsi="Times New Roman" w:eastAsia="方正公文黑体"/>
                <w:lang w:eastAsia="zh-CN" w:bidi="ar"/>
              </w:rPr>
              <w:t>名称</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一、党的建设（24项）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学习贯彻落实习近平新时代中国特色社会主义思想和习近平总书记对吉林工作的重要讲话重要指示精神，落实“第一议题”制度，宣传和执行党的路线方针政策，执行上级党组织及本级党组织的决策部署，按照党中央部署开展党内集中教育，加强政治建设，坚定拥护“两个确立”，坚决做到“两个维护”。</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委自身建设，履行全面从严治党主体责任，落实民主集中制、理论学习中心组学习、民主生活会、谈心谈话、党务公开、重大事项请示报告等制度，落实高质量发展政绩考核、巡视巡察反馈问题整改工作要求，落实领导干部联系点制度，加强调查研究和联系服务群众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推进党的基层党组织规范化建设，严格执行党的组织生活制度负责所辖基层党组织成立、撤销、调整、换届、人员备案管理，整顿软弱涣散党支部，打造特色党建品牌，管理党建经费、服务群众专项经费。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落实党代会年会制和党代表任期制，负责召开党代会年会，推荐选举党代表人选，加强党代表联络服务，办理党代表意见建议。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加强党员队伍建设，负责发展党员和党员教育、管理、服务，党员组织关系转接与信息维护，承担关怀帮扶生活困难党员和老党员，党费的核算、收缴、使用和管理，不合格党员处置等工作。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加强基层干部队伍建设，按照干部管理权限，负责镇级干部的教育、培养、选拔、考核、考察和监督管理，培育基层干部后备力量，考核、教育、管理村干部及驻村工作队。</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坚持党管人才原则，宣传解读人才政策，常态化开展引进人才工作，建立人才信息库，推荐、培养、使用各领域优秀人才，加强人才沟通联系。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强化党组织阵地建设，落实党群服务中心（站）、基层党员教育阵地建设，指导农村、“两企三新”等党组织规范开展工作，实施村部升级改造。</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负责离退休干部服务保障工作，承担维护离退休人员信息、巡访关爱、教育交流等工作。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落实党风廉政建设责任制，加强作风建设，开展廉政、廉洁、反腐败斗争和警示教育工作。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落实全面从严治党监督责任，强化监督执纪问责，推动乡镇、村（居）两级监督体系建设，落实中央八项规定精神，推进集中整治工作，依法依纪办理纪检监察案件，监督巡视巡察反馈问题整改落实情况。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开展宣传思想文化工作，建设管理宣传、文化阵地，负责新闻信息宣传、联络沟通媒体、报刊杂志征订、新媒体工作号管理等工作，组织开展爱国主义教育活动。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培育和践行社会主义核心价值观，开展精神文明创建系列活动，开展典型人物的挖掘和培育工作，加强新时代文明实践所（站）建设和管理。</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落实统战工作责任制，学习宣传统战政策，加强统一战线工作对象的沟通、联系、管理和帮扶工作，开展统一战线相关活动。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铸牢中华民族共同体意识，统计少数民族人员信息，宣传民族宗教政策，开展民族团结进步宣传月活动，实行宗教工作网格化管理，宣传推广普通话及国家通用语言文字。</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落实人民代表大会制度，组织人大换届、选举人大代表，组织人大代表参会，联系人大代表履职，建设人大代表家（站），征集、办理人大代表议案建议等工作。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落实政治协商制度，推荐上级政协委员，组织政协委员与基层群众联络，联系政协委员在辖区内开展履职活动，办理、答复政协提案建议。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推动辖区工会组织建设、换届工作，做好职工帮扶维权工作，开展工会系列活动，开展职工关爱服务，收缴、使用工会经费。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推进辖区共青团组织、阵地建设、换届工作，开展团员、团费管理工作，开展青少年宣讲实践活动等工作。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推进辖区妇联组织建设、换届工作，维护妇女儿童合法权益，组织妇联开展各类活动，加强妇女儿童阵地、家庭家教家风建设。</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负责辖区残联组织建设，组织换届工作，开展残疾人政策普及、文体活动工作。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统筹辖区“五老”工作，收集域内“五老”人员信息，组织“五老”人员开展关心下一代工作。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落实党建引领基层治理工作要求，负责推进“书记一号工程”项目建设，组建志愿服务队伍、开展志愿服务活动，管理培训社工队伍等工作。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加强村（居）民委员会、村（居）务监督委员会组织建设，承担组织村换届、补选，落实“四议两公开”制度，指导村开展自治工作、落实“一约四会”章程。</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二、经济发展（10项）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负责棚膜产业发展，制定棚膜园区发展规划，推介棚膜产业园区，指导棚膜园区经营，创新棚膜园区发展模式，发展特色棚膜业态。</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负责推动镇域经济高质量发展工作，编制、实施经济发展规划，统计经济和社会企业情况等工作。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负责优化营商环境，宣传优化营商环境政策，承担推进信用体系建设、动员规模以上企业入规、宣传惠企政策，开展深化助企服务、解决企业困难等工作。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负责招商引资工作，承担制定招商引资计划、宣传招商政策，谋划、对接、签约招商引资项目等工作。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负责政府投资项目的谋划、实施与监管，项目后续维护、运营及保障等工作。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负责普查工作，实施经济、人口、农业普查工作。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负责统计工作队伍建设，加强统计监督职责，承担统计法律法规宣传及培训，开展涉农统计和抽样调查等工作，利用统计数据指导产业发展。</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促进村民、村集体增收，管理村级集体经济，建设党组织引领联合社、指导成立、管理村级党支部领办合作社，日常管理新型经营主体情况。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负责农村集体“三资”监管工作，提供财务委托代理服务，推进农村集体资金、资产、资源规范化运行，监管村级集体经济收益分配、村级经费运转、驻村第一书记经费等工作。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负责农村电商发展培育工作，建立电商服务中心、村级电商服务站，培育本地电商主体等工作。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三、民生服务（13项）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便民服务中心（站）标准化建设工作，开展政务服务培训、监管工作人员纪律，深化“最多跑一次”改革、提供“一站式办结”服务，制定并公开政务服务管理制度及指南、规范办件流程，完善领办代办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就业服务工作，宣传就业创业政策，通过入户走访，建立就业困难人员台账，引导就业困难人员申请创业就业补贴，组织就业困难人员参加就业创业技能培训，做好辖区内就业供需对接相关工作，为就业困难人员提供公益性岗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生活困难群体救助帮扶工作，摸排辖区内困难群众、人均收入低于当地最低生活保障标准的家庭，按规定给予最低生活保障，为因突发事件、意外伤害、重大疾病或其他特殊原因导致基本生活陷入困境对象提供临时救助，监测特困供养人群信息变化情况，经办特困供养业务，动态调整救助待遇。</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特殊困难群体帮扶救助工作，摸排辖区精神障碍患者家庭生产生活情况，为生活困难的精神障碍患者家庭提供帮助，建立独居、空巢、失能、重残等特殊家庭老年人台账，提供探访关爱和帮扶服务，日常管理老年食堂、养老机构，申报高龄老人补贴，摸排辖区孤儿、留守儿童、事实无人抚养的儿童情况，做好基本生活保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做好残疾人服务和关心关爱，负责困难残疾人生活补贴、重度残疾人护理补贴的申请受理工作，提供残疾人康复就业、辅具申请更换服务，组织残疾人参加职业技能培训，做好公益助残等工作。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负责办理基本养老保险相关业务工作，宣传城乡居民养老保险政策，更新城乡居民养老保险参保及死亡情况，基本养老保险资格认证、信息采集，城乡居民养老保险待遇申领、补缴、公示等工作。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负责基本医疗保险经办管理工作，承担宣传医保政策、提供医疗保险参保、信息查询服务。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组织退役军人学习政治理论和党的路线方针政策，建设管理退役军人服务站，退役军人心理疏导教育，组织退役军人参加培训，开展双拥活动，发放光荣牌、送立功喜报等工作。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负责退役军人及其他优抚对象服务保障工作，承担动态管理退役军人建档立卡信息，强化退役军人优抚对象服务保障，初审上报困难退役军人及农村籍退役士兵老年补助申请。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宣传计划生育政策，承担采集更新计划生育数据、依规办理独生子女证、生育证等工作，管理家庭健康指导员队伍，申报计划生育家庭补贴奖励，计划生育特殊家庭工作。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宣传爱国卫生知识，开展爱国卫生、公共卫生工作，宣传控烟知识、创建无烟场所，组织村实施春秋季灭鼠等相关工作。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负责落实红十字会相关工作，承担红十字日、爱心捐赠宣传，组织献血献爱心活动。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监督管理物业服务，宣传普及物业法规政策，指导业主委员会和物业管理委员会的成立、换届工作，管理无物业小区和老旧住宅小区物业。</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四、平安法治（5项）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宣传法治政府政策，开展普法宣传，推进法治政府建设、建设乡镇法治文化阵地、人民陪审员队伍，建设公共法律服务平台等工作。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贯彻落实总体国家安全观政策，组织开展国家安全法律法规宣传和国防教育活动，组织摸排国家安全隐患，落实反暴恐相关工作。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负责宣传防范诈骗常识、开展教育讲学、承担落实防诈预警、排查上报线索等相关工作。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建立健全信访工作机制，宣传信访法律法规，排查涉访矛盾，受理群众来信、来电、网上等信访事项，接待群众来访，承办上级党委政府直接交办的信访事项，督促、审核信访事项的办理回复。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落实兴边富民稳边固边责任，聚集边境村人气，提高边境村民生保障，做好稳边固边人员队伍管理。</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五、乡村振兴（13项）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负责落实巩固拓展脱贫攻坚成果同乡村振兴有效衔接主体责任和监管责任，承担经常性走访，开展业务培训及考核、整改省级反馈问题等工作。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宣传脱贫户纳入监测对象政策，通过网格员排查、群众申报、部门筛查等预警方式，及时发现因病、因灾、突发事故、经营亏损等导致家庭收入严重下降生活困难的农户，纳入监测对象。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对脱贫人口及监测对象开展帮扶救助，综合运用临时救助、低保、医疗、社保、住房、饮水、教育等帮扶政策，保障基本生活。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帮助指导脱贫人口及监测对象就业创业，制定“一户一策”帮扶措施，利用光伏项目收益开发公益性岗位，落实产业、金融、消费、科技等帮扶政策，稳定脱贫人口及监测对象收入。</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落实粮食安全责任制，负责宣传粮食安全、黑土地保护政策，承担提供相关技术指导、组织开展巡田、遏制耕地“非农化”、管理耕地“非粮化”等相关工作。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宣传高标准农田保护政策，推进高标准农田建设，管护高标准农田，摸排农田沟渠情况等工作。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负责农业种植技术推广、农民技能培训，开展农业科技示范主体、农作物病虫害防治、化肥减量增效等工作。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负责农机政策、知识推广，开展农机数据统计，引进、推广农业机械新机具等工作。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承担农村土地相关服务职责，宣传农村土地法律法规、政策，负责农村土地流转工作、农村土地承包工作等工作 。</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负责宣传农产品质量安全知识，农产品质量管理，监管村级农产品质量安全协管员，统计农业种植及农资回收情况等工作。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负责农村饮水供水安全服务工作，承担政策宣传、水源地维护、水井房监管、水管员日常管理、农村饮水安全保障等工作。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开展畜禽养殖抽样、存出栏、畜禽“四类场所”检查工作、病死及死亡畜禽处理等工作。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承担畜牧业法律法规政策宣传教育、畜禽防疫，提供畜禽养殖技术、优良品种指导等工作。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六、生态环保（6项）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践行“绿水青山就是金山银山”理念，承担宣传法律法规政策，开展生态环境保护日常巡查、核查线索、整改督察反馈问题等工作。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落实林长制工作，负责宣传林业保护法律法规政策，组建、管理森林管护员，组织开展巡林、植树造林等工作，处理林地纠纷。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落实河长制工作，负责宣传河湖保护政策，聘用、管理河道保洁员，组织开展巡河等工作。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负责整治农村人居环境相关工作，承担政策宣传、整理统计数据，开展村庄清洁、乡村绿化等工作。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负责宣传秸秆禁烧政策知识，开展秸秆离田工作，规范处置秸秆残茬，承担秸秆禁烧区域监管、发放年度秸秆禁烧奖补资金等工作。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承担水资源保护相关工作，负责宣传水资源保护政策，开展水源地保护，排查水土保持情况及水域安全隐患。</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七、城乡建设（2项）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负责村庄建设，开展全国村镇建设系统填报工作，承担完善村庄地理位置、管护“四好农村路”、村庄公共设施和基础设施情况等工作。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承担巡查房屋情况、审核验收农村宅基地建设情况等工作。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八、文化和旅游（3项）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制定文化工作计划，组织开展基层公共文化、农民业余文化生活活动、科普活动、中华优秀传统文艺文化传承等群众性文化活动。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发掘乡村旅游资源，负责普查整理乡村旅游资源，培育本地特色文化旅游资源，谋划申请乡村旅游项目等工作。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负责全民健身推广工作，开展健康知识普及、体育活动，维护管理文体设施、场所等工作。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九、综合政务（12项）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负责政务公开专区建设工作，公开、解读、修正政务信息，梳理及更新村（居）务公开目录，培训使用政务外网，组织开展政府开放日活动，日常管理、维护综合政务外网等工作。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负责“12345”热线、网站留言、领导信箱转办工作，承担群众诉求事项接收及退回、反馈及回访工作。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负责乡镇机关事务工作，承担公文处理、印章管理、节假日值班，会务保障等日常工作。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开展“国际档案日”宣传活动，加强档案管理基础设施建设，档案管理、归档，收集上报地方志、大事记、年鉴资料，指导村开展档案管理工作等工作。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负责年度财政预决算编制、执行工作，承担财政资产、信息管理及财政资金管理、内控制度建立等工作。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负责人事劳资管理相关工作，承担核算、调整在职人员工资，申报、调整及发放福利待遇，收缴个人所得税等工作。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负责乡镇机关节能减排相关工作，承担管理办公用房、公车等固定资产工作，保障机关日常办公需求。</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承担变更统一社会信用代码证书、维护事业单位法人信息等工作。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负责乡镇人事编制工作，承担申请编制岗位需求、办理编制落实手续，事业人员岗位聘用调整、档案管理等人事相关工作。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管理公益性岗位等编外人员，承担岗位人员补贴代发、保险代缴等相关工作。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落实保密工作责任制，宣传保密法律法规，负责制定保密制度，日常保密管理、教育、自查自评等工作，管理涉密设备、人员、文件等。</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负责乡镇综合行政执法相关工作，组建执法队伍，承担业务能力培训、管理网络经营场所、联合执法等工作。</w:t>
            </w:r>
          </w:p>
        </w:tc>
      </w:tr>
    </w:tbl>
    <w:p>
      <w:pPr>
        <w:pStyle w:val="3"/>
        <w:spacing w:before="0" w:after="0" w:line="240" w:lineRule="auto"/>
        <w:jc w:val="center"/>
        <w:rPr>
          <w:rFonts w:ascii="Times New Roman" w:hAnsi="Times New Roman" w:eastAsia="方正小标宋_GBK" w:cs="Times New Roman"/>
          <w:color w:val="auto"/>
          <w:lang w:eastAsia="zh-CN" w:bidi="ar"/>
        </w:rPr>
      </w:pPr>
      <w:r>
        <w:rPr>
          <w:rFonts w:ascii="Times New Roman" w:hAnsi="Times New Roman" w:eastAsia="方正小标宋_GBK" w:cs="Times New Roman"/>
          <w:color w:val="auto"/>
          <w:lang w:eastAsia="zh-CN" w:bidi="ar"/>
        </w:rPr>
        <w:br w:type="page"/>
      </w:r>
      <w:bookmarkStart w:id="4" w:name="_Toc172077950"/>
      <w:bookmarkStart w:id="5" w:name="_Toc172533653"/>
      <w:bookmarkStart w:id="6" w:name="_Toc172077417"/>
      <w:bookmarkStart w:id="7" w:name="_Toc172077552"/>
      <w:r>
        <w:rPr>
          <w:rFonts w:ascii="Times New Roman" w:hAnsi="Times New Roman" w:eastAsia="方正公文小标宋" w:cs="Times New Roman"/>
          <w:b w:val="0"/>
          <w:lang w:eastAsia="zh-CN"/>
        </w:rPr>
        <w:t>配合</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4"/>
      <w:bookmarkEnd w:id="5"/>
      <w:bookmarkEnd w:id="6"/>
      <w:bookmarkEnd w:id="7"/>
    </w:p>
    <w:tbl>
      <w:tblPr>
        <w:tblStyle w:val="8"/>
        <w:tblW w:w="14045" w:type="dxa"/>
        <w:tblInd w:w="0" w:type="dxa"/>
        <w:tblLayout w:type="autofit"/>
        <w:tblCellMar>
          <w:top w:w="0" w:type="dxa"/>
          <w:left w:w="108" w:type="dxa"/>
          <w:bottom w:w="0" w:type="dxa"/>
          <w:right w:w="108" w:type="dxa"/>
        </w:tblCellMar>
      </w:tblPr>
      <w:tblGrid>
        <w:gridCol w:w="727"/>
        <w:gridCol w:w="1814"/>
        <w:gridCol w:w="1814"/>
        <w:gridCol w:w="4842"/>
        <w:gridCol w:w="4848"/>
      </w:tblGrid>
      <w:tr>
        <w:tblPrEx>
          <w:tblCellMar>
            <w:top w:w="0" w:type="dxa"/>
            <w:left w:w="108" w:type="dxa"/>
            <w:bottom w:w="0" w:type="dxa"/>
            <w:right w:w="108" w:type="dxa"/>
          </w:tblCellMar>
        </w:tblPrEx>
        <w:trPr>
          <w:cantSplit/>
          <w:trHeight w:val="658"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序号</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事项名称</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对应上级部门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上级部门职责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乡配合职责</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一、经济发展（4项）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审计监督村民委员会、农村集体经济组织接受、运用财政资金的真实、合法和效益情况</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1.提供村民委员会、农村集体经济组织接受、运用财政资金的真实、合法和效益情况资料；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2.整改村民委员会、农村集体经济组织接受、运用财政资金的真实、合法和效益情况问题。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农村“三资”领域审计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1.提供农村“三资”领域审计材料；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2.整改农村“三资”领域审计问题。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党政正职任期经济责任审计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1.提供党政正职任期经济责任审计材料；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2.整改党政正职任期经济责任审计问题。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维护基本单位名录库信息</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县统计局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1.下发法人单位信息；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2.维护基本单位名录库信息。</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核实录入基本单位名录库信息。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二、民生服务（22项）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追缴违规领取的城乡最低生活保障金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1.通过省信息核对平台，筛查出可能存在违规领取最低生活保障金人员信息并反馈给乡镇；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2.对乡镇上报的拒不返还违规领取最低生活保障金的人员依法追缴冒领款物；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1.对反馈的可能存在违规领取最低生活保障金人员进行核实；                                                                           2.送达违规领取最低生活保障金人员的追缴通知单，并责令退回冒领款物；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3.登记拒不返还违规领取最低生活保障金人员台账；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4.上报拒不返还违规领取最低生活保障金人员名单。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安置流浪乞讨人员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2.组织安置生活无着落的流浪乞讨人员。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1.排查上报生活无着落的流浪乞讨人员信息；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2.协助安置生活无着落的流浪乞讨人员。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困难儿童基本生活补贴办理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1.审核困难儿童基本生活补贴材料；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2.拨付困难儿童基本生活补贴。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1.初审困难儿童基本生活补贴申请材料；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2.申报困难儿童基本生活补贴材料。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适老化设施改造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1.受理适老化改造申请；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3.确认适老化改造资格；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4.组织第三方实施改造；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5.组织验收改造项目。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1.统计上报适老化设施改造需求；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2.引导工作人员进行适老化改造入户筛查；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3.引导第三方入户实施适老化改造。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农村公益性墓地审核审批</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审批农村公益性墓地申请。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1.指导村选定公益性墓地地址；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2.核实公益性墓地选址土地性质；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3.审核农村公益性墓地。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殡葬相关政策宣传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制作宣传内容，确定宣传方式。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1.开展殡葬政策宣传；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2.统计宣传数据。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整改殡葬服务行业问题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1.制作下发殡葬相关政策宣传内容；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2.通知乡镇殡葬政策宣传方式；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3.实地走访殡葬服务行业并督促整改问题。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1.宣传殡葬管理法律法规；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2.协助走访殡葬服务行业。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办理低保户基本殡葬服务费用减免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2.发放低保户基本殡葬服务费用减免资金。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受理低保户基本殡葬服务费用减免申请。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办理节地生态安葬补贴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1.宣传节地生态安葬补贴政策；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2.受理节地生态惠民奖补申请。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更换残疾证</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审核残疾证到期换证人员信息，发放残疾证。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统计上报残疾证到期换证人员信息。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残疾人子女或残疾学生助学金办理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1.审核残疾人子女或残疾学生助学金材料；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2.发放残疾人子女或残疾学生助学金。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申报残疾人子女或残疾学生助学金材料。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贫困居家失能老人护理补贴办理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1.审核贫困居家失能老人护理补贴材料；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2.发放贫困居家失能老人护理补贴。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登记上报贫困居家失能老人护理补贴材料。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走访慰问困难退役军人和其他优抚对象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2.走访慰问困难退役军人和其他优抚对象。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1.上报困难退役军人和其他优抚对象名单；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2.协助走访慰问困难退役军人和其他优抚对象。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追缴违规领取残疾人“两项补贴”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1.确认违规领取残疾人“两项补贴”人员信息；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3.对拒不返还违规领取残疾人“两项补贴”人员依法进行追缴。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1.送达违规领取残疾人“两项补贴”追缴通知单；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2.登记拒不返还违规领取残疾人“两项补贴”人员台账；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3.上报拒不返还违规领取残疾人“两项补贴”人员名单。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追缴违规领取的特困供养金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1.通过省信息核对平台，筛查出可能存在违规领取特困供养金人员信息并反馈给乡镇；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2.对乡镇上报的拒不返还违规领取特困供养金的人员依法追缴冒领款物；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1.对反馈的可能存在违规领取特困供养金人员进行核实；                                                                           2.送达违规领取特困供养金人员的追缴通知单，并责令退回冒领款物；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3.登记拒不返还违规领取特困供养金人员台账；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4.上报拒不返还违规领取特困供养金人员名单。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退役军人法律援助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联合司法局开展退役军人法律援助服务。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1.收集上报退役军人法律援助帮扶需求信息；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2.协助开展退役军人法律援助服务。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退役军人优抚对象二次医疗救助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1.审核退役军人优抚对象二次医疗救助申请材料；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2.发放救助金至退役军人优抚对象个人账户。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1.宣传退役军人优抚对象二次医疗救助政策；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2.指导申请人填写退役军人优抚对象二次医疗救助材料；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3.初审退役军人优抚对象救助申请材料；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4.上报退役军人优抚对象救助申请材料。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退役军人优待证办理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1.审核、上报退役军人优待证申报材料；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2.分发优待证。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1.受理退役军人优待证申请；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2.申报退役军人优待证材料；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3.发放退役军人优待证。</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评估特困集中供养人员生活自理能力</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1.由县民政和退役军人事务局、乡镇、村民委员会等人员组成不少于3人评估小组或委托第三方进行评估；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2.对入住敬老院特困供养人员生活自理能力测评。</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协助开展特困供养人员生活自理能力评估。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孤儿免费入学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1.下达孤儿学校招生计划及政策；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2.审核孤儿助学入学申请材料；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3.签订孤儿助学四方协议。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2.提供孤儿入学手续代办服务。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控辍保学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县教育和体育局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1.结合日常工作开展走访，对发现的家庭经济困难、残疾人、外来务工人员、留守儿童等弱势家庭学生纳入控辍重点，帮助其解决生活上的困难及时劝返回校复学；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2.对重点人员和复学学生不定期入户回访，了解当前复学情况。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1.宣传义务教育政策；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2.定期对各学校控辍保学工作进行检查；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3.采取措施防止适龄儿童辍学。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规范村级组织机制事务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县委社会工作部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1.协调相关部门指导督促清理村（社区）违规加挂牌子；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2.明确村级组织工作事务、证明事项规范标准。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2.指导村（社区）规范村级组织工作事务、证明事项。</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三、平安法治（2项）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“三官一律”进网格活动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1.组建“三官一律”人员队伍；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2.协调“三官一律”人员开展法律咨询、矛盾纠纷化解。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1.宣传“三官一律”政策；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2.公示“三官一律”人员信息。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社区矫正工作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1.审前调查对拟适用社区矫正的被告人、罪犯进行调查评估；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2.登记社区矫正对象信息，告知前往报到；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3.组织开展业务技能、管理教育培训；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4.对心理障碍及未成年人提供心理疏导；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5.对违反社区矫正规定的对象进行处置；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6.审查到期社区矫正对象卷宗，开具解矫证明、解矫宣告书。</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1.入户走访社区矫正对象；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2.接收法院判决书、监狱决定书；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3.接收社区矫正对象；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4.建立社区矫正对象台账；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5.对生活困难矫正对象提供救助帮扶服务；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6.开展社区矫正对象日常监督；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7.上报违反社区矫正管理规定的对象名单；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8.代发解矫证明、解矫宣告书。</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四、乡村振兴（29项）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耕地撂荒整治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1.审核撂荒耕地排查数据、复耕复种补充材料；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2.对耕地撂荒情况进行整治。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1.指导村级管理员统计撂荒耕地排查数据；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2.指导各村收集复耕复种补充材料；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3.初审上报撂荒耕地排查数据、复耕复种补充材料。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“大棚房”问题整治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3.验收“大棚房”整治情况。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1.排查上报“大棚房”问题台账；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2.协助整治“大棚房”问题。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“雨露计划”补助办理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1.核对“雨露计划”补助申请材料；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2.拨付“雨露计划”补助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1.宣传“雨露计划”补助政策；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2.排查上报符合“雨露计划”补助政策的高职学生情况；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3.发放“雨露计划”补助。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光伏分红</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2.拨付光伏分红资金。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1.制定上报光伏收益分配方案；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2.发放光伏分红资金。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小额信贷贴息业务办理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1.审核信贷材料，确定信贷人员名单；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2.下发政府贴息信息；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3.整理“红黄蓝”还款预警台账；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4.审核核销材料。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1.宣传小额信贷政策；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2.指导符合条件的信贷人员授信；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3.上报信贷人员授信材料；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4.指导信贷人员办理小额信贷；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5.公示小额信贷上级政府贴息情况；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6.提醒小额信贷人员还款；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7.初审上报死亡人员核销材料。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科技特派员送“技”下乡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选派科技特派员等专家，为种植大户、脱贫户、监测对象提供技术指导。</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引导科技特派员为种植大户、脱贫户、监测对象提供技术指导。</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庭院经济产业项目奖励补贴办理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1.审核庭院经济奖励补贴材料；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2.拨付庭院经济产业项目奖励补贴。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1.宣传庭院经济产业项目奖励政策；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2.受理庭院经济产业项目奖励补贴申请；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3.申报庭院经济产业项目奖励补贴材料；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4.发放庭院经济产业项目奖励补贴。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未享受低保脱贫人口医保补贴办理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1.审核未享受低保脱贫人口医保补贴材料；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2.拨付未享受低保脱贫人口医保补贴。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1.申报未享受低保脱贫人口医保补贴；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2.发放未享受低保脱贫人口医保补贴。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脱贫人口和监测对象外出务工交通补贴办理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2.拨付脱贫人口和监测对象外出务工交通补贴。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1.宣传脱贫人口和监测对象外出务工交通补贴政策；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4.发放脱贫人口和监测对象外出务工交通补贴。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监测对象医疗救助资金办理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2.拨付监测对象医疗救助金。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1.受理监测对象医疗救助申请；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3.发放监测对象医疗救助金。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加厚降解地膜补贴办理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2.拨付加厚降解地膜补贴。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1.宣传科学使用加厚降解地膜政策；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2.指导村民填写加厚降解地膜补贴申请；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4.发放加厚降解地膜补贴。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实施“一喷多促”项目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1.审核确定“一喷多促”面积；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2.聘请第三方无人机作业；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3.验收“一喷多促”飞药情况。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1.调查上报“一喷多促”实施面积；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2.监督“一喷多促”作业。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动物强制免疫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1.检测强制免疫对象样本；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2.发放动物疫苗。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1.制定动物疫病防控采样计划；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2.入户采集动物疫病样本；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3.对采样结果不达标免疫对象注射疫苗；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4.对未免疫动物强制注射疫苗。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种粮农民一次性补贴办理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1.审批种粮农民一次性补贴申请材料；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2.拨付种粮农民一次性补贴。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1.宣传种粮农民一次性补贴政策；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2.受理种粮农民一次性补贴申请；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3.申报种粮农民一次性补贴；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4.发放种粮农民一次性补贴。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玉米、大豆、稻谷生产者补贴办理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2.拨付玉米、大豆、稻谷生产者补贴。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1.宣传玉米、大豆、稻谷生产者补贴政策；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2.受理玉米、大豆、稻谷生产者补贴申请；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3.申报玉米、大豆、稻谷生产者补贴；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4.发放玉米、大豆、稻谷生产者补贴。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耕地地力保护补贴办理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2.拨付耕地地力保护补贴。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1.宣传耕地地力保护补贴政策；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2.受理耕地地力保护补贴申请；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3.申报耕地地力保护补贴；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4.发放耕地地力保护补贴。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生物有机肥补贴办理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1.审批生物有机肥补贴申请材料；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2.拨付生物有机肥补贴。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1.宣传生物有机肥补贴政策；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2.受理生物有机肥补贴申请；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3.申报生物有机肥补贴；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4.发放生物有机肥补贴。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“粮改饲”补贴办理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1.审批发放“粮改饲”补贴申请材料；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2.拨付“粮改饲”补贴。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1.宣传“粮改饲”补贴政策；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2.受理“粮改饲”补贴申请；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3.申报“粮改饲”补贴；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4.发放“粮改饲”补贴。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特色种植产业补贴办理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1.审批特色产业种植面积材料；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2.发放特色产业补贴。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申报特色产业种植面积材料。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高油高产高蛋白大豆补贴办理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1.审批高油高产高蛋白大豆补贴申请材料；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2.拨付高油高产高蛋白大豆补贴。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1.宣传高油高产高蛋白优质大豆补贴政策；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2.受理高油高产高蛋白优质大豆补贴申请；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3.申报高油高产高蛋白优质大豆补贴；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4.发放高油高产高蛋白大豆补贴。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免费发放优质肉牛冻精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1.审核繁改站（员）免费优质肉牛冻精使用的申请。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2.为符合条件的繁改站（员）发入免费优质肉牛冻精，提供给养殖户免费使用。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1.宣传优质肉牛冻精免费发入使用政策；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2.受理繁改站（员）免费优质肉牛冻精使用的申请并提交畜牧总站审核；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3.协助畜牧总站为符合条件的繁改站（员）发放免费优质肉牛冻精，提供给养殖户免费使用。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农产品质量安全监测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组织监测取样，反馈监测情况。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1.宣传农产品质量安全法律法规；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2.协助农产品质量安全监测。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土壤抽样普查</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组织土壤抽样普查，评估确定耕地质量。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1.排查上报土壤抽样采样点；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2.引导部门到土壤采集点开展工作。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监测土壤墒情</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测定地块土壤墒情样本并反馈结果。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1.制定土壤墒情地块踏查方案；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2.踏查土壤墒情地块；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3.采集上报土壤墒情样本；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4.通知村民土壤墒情检测结果。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农业灾情应急处置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县气象局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1.负责统计、核实、汇总、上报乡镇的农业灾情数据；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2.负责农业抗灾救灾恢复生产技术指导工作；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县气象局：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负责开展农业灾情预警工作。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1.宣传农业灾情预警信息；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3.协助农业灾后恢复生产技术指导；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4.推广政策性农业保险。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处理农村饮水安全突发事件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指导、监督各乡镇对涉事地点抢修。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1.摸排上报农村饮水安全突发事件情况；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2.协助处理农村饮水安全突发事件。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水利工程建设和水利设施维护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2.核实、确认损坏问题；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3.维修水利项目。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2.排查已建成水利工程超运行年限情况;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3.上报无法自行维修的水利项目。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农村户用卫生厕所改造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1.汇总农村户用卫生厕所改造户名单；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2.组织验收农村户用卫生厕所改造工程；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3.拨付资金。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1.宣传农村厕所改造政策；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3.聘请第三方对农村户用卫生厕所改造施工;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4.协助农村户用卫生厕所改造验收;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5.申请农村户用卫生厕所改造资金;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6.支付农村户用卫生厕所改造费用。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处置动物医疗废弃防疫物资</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1.下发建立动物医疗防疫废弃物回收点要求；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2.回收动物医疗防疫废弃物，集中销毁处理。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1.设立废弃动物医疗防疫物资回收点；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2.协助回收动物医疗废弃防疫物资。</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五、社会管理（1项）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拆除违规安装的地面接收器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2.组织实施拆除违规安装的地面接收器。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2.协助实施拆除违规安装的地面接收器。</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六、自然资源（12项）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设施农用地建设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1.审核材料，备案信息；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2.组织实地踏查基本农田设施农用地。</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1.审批上报设施农用地备案材料；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2.组织实地踏查基本农田以外的设施农用地；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3.协助实地踏查基本农田设施农用地。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流出耕地找回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2.处置耕地流出违法行为。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1.排查流出耕地找回违法行为；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2.上报流出耕地找回违法问题台账。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基本农田流出找回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2.处置基本农田流出违法行为。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1.排查基本农田流出找回违法行为；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2.上报基本农田流出找回违法问题台账。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退耕还林补贴办理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1.审核批复退耕还林项补贴申请材料；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2.拨付退耕还林补贴资金。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1.统计退耕还林地块信息；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2.汇总、上报退耕还林补贴申请材料；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3.发放退耕还林项目补贴。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编制村庄规划</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审核村庄规划编制材料。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1.聘请第三方编制村庄规划；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2.汇总上报村庄规划材料。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国土空间数据收集监测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组织国土空间数据收集监测。</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协助国土空间数据收集监测。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安装农村饮用水水表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组织专业人员安装水表。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组织各村协助安装水表。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维修林业标志</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1.实地查看林业标志毁坏情况；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2.组织维修林业标志。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1.收集上报毁坏的林业标志情况；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2.协助维修林业标志。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林木采伐管理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1.审核、下达采伐指标；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2.批复林木采伐申请；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3.核发林木采伐许可证；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4.抽查、验收采伐地块；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5.核实采伐后森林资源变化情况；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6.抽查采伐迹地更新造林情况。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1.公示、分配采伐指标；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2.初审、上报林木采伐申请；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3.指导林户办理林木采伐许可证，出具采伐作业告知书；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4.与林户签订采伐作业质量保证书；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5.监督林木采伐情况，组织开展验收；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6.更新、上报采伐后森林资源档案；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7.监督采伐迹地更新造林情况；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8.组织开展林木采伐验收。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林地卫星图斑整治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1.下发问题图斑情况；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2.整治林地卫星图斑问题。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1.核实反馈林地卫星图斑问题情况；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2.协助整治林地卫星图斑问题。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征地补偿款发放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拨付征地补偿款资金。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代发征地补偿款。</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处理集体与国有林木林地所有权和使用权争议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1.受理争议双方申请；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2.审核集体林木林地所有权和使用权佐证材料材料；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3.确定林地所有权和使用权。</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1.提供集体林木林地所有权和使用权佐证材料；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2.协助村调解集体林木林地所有权和使用权争议。</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七、生态环境（15项）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整治固体废物污染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核实认定固体废物污染问题，下达责令限期整改等整治通知。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排查上报固体废物污染情况。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整治入河排污口污染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核实认定入河排污口污染问题，下达责令限期整改等整治通知。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排查上报入河排污口污染情况。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整治农村黑臭水体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核实认定农村黑臭水体问题，下达责令限期整改等整治通知。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排查上报农村黑臭水体情况。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整治农村生活污水问题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核实认定农村生活污水问题，下达责令限期整改等整治通知。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排查上报农村生活污水情况。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整治大气污染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组织普及大气污染防治知识，制定大气污染防治工作计划，指导大气污染防治工作。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1.普及大气污染防治知识；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2.排查上报大气污染情况。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土壤污染防治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
县农业农村局
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县生态环境分局：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1.负责土壤及地下水环境监督管理，承担土壤环境保护职责；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2.贯彻执行土壤污染防治方针政策和管理制度；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3.做好疑似污染地块和污染地块安全利用监管，开展土壤污染风险管控和修复管理；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4.贯彻落实工业用地和经营性用地土壤环境保护管理制度；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1.依据工业用地和经营性用地土壤环境保护管理制度开展土地流转程序；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1.对耕地环境监测点的土壤和农产品进行例行监测；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2.开展受污染耕地分类管理和安全利用工作；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3.对未利用地、复垦土地等拟开垦为耕地的，开展土壤污染状况调查；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负责减少区域生活点源污染，提高生活废物处置能力，推进生活垃圾无害化处置。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1.宣传土壤污染防治法律法规；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2.普及土壤污染防治知识；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3.日常巡查土壤污染情况；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4.劝阻土壤污染行为；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5.上报劝阻无效的土壤污染情况。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辐射事故应急处置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1.评估辐射情况；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2.组织处置辐射事故。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1.排查上报辐射事故情况；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2.协助处置辐射事故。</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处置环保违法问题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2.处罚环保违法行为。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1.受理上报环保违法问题线索；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2.协助处罚环保违法行为。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处理突发环境事件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2.组织处置突发环境事件。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2.协助处理突发环境事件。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无害化处理病死畜禽</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1.分析病死畜禽情况；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2.组织无害化处理病死畜禽。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2.协助无害化处理病死畜禽。</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整治河道“四乱”</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1.处置拒不整改的“四乱”问题；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2.依法督促整治。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1.摸排河道乱占、乱采、乱堆、乱放问题；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2.制止河道“四乱”行为；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3.上报拒不整改河道“四乱”情况。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整治河道违法违规行为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依法处置河道违法违规行为。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1.摸排河道违法违规行为；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3.上报河道违法违规情况。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河道清理疏浚</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1.批复河道清理疏浚申请；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2.组织开展河道清理疏浚活动。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1.排查上报申报浚情况；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2.协助开展河道疏浚行动。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处置涉林违法行为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1.核实涉林违法行为情况；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2.调查处置涉林违法行为。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1.排查上报涉林违法情况；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2.协助处置涉林违法行为。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农药包装废弃物回收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1.下发建立农药包装废弃物回收点要求；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2.查看农药包装废弃物回收情况；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3.回收转运农药包装废弃物。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1.建立农药包装废弃物回收点；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2.协助查看农药包装废弃物回收情况。</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八、城乡建设（9项）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耕地违规建筑整治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2.对耕地违规建筑进行整治。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2.协助整治耕地违规建筑行为。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农村危房改造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1.确定下发农村危房清单；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3.组织实施危房改造；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4.定期组织巡检危房改造进度；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5.组织实施危房改造验收。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1.宣传农村危房改造政策；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2.排查上报农村危房情况；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4.协助定期巡查农村危房改造进度；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5.协助农村危房改造验收；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6.整理上报农村危房改造材料。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农村建筑能效改造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1.审核农村建筑能效改造申请材料；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1.宣传能效提升改造政策；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2.受理上报能效提升改造申请材料；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3.协助能效提升改造。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农村清洁能源改造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1.宣传农村清洁能源改造政策；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3.协助实施清洁能源改造。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农村灾损房屋改造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
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1.下放因灾倒损房屋改造通知；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2.核实确定灾损房屋信息；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3.聘请第三方机构鉴定因灾倒损房屋安全等级和损毁情况；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3.协调相关部门验收因灾倒损房屋修缮，重建情况。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验收通过后，拨付农村灾损房屋修缮资金。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1.排查上报灾损房屋情况；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2.指引第三方实地鉴定因灾倒损房屋等级；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3.指引部门工作人员实地验收因灾倒损房屋修缮、重建情况；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4.发放修缮农村灾损房屋资金。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农村供水管网改造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2.实施本部门争取资金的农村供水管网改造项目。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2.实施本乡镇争取资金的农村供水管网改造项目。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行政村命名更名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审核行政村命名更名申请材料并批复。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1.指导村召开村命名更名会议；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2.编制村命名更名方案；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3.收集上报行政村命名更名申请材料；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4.组织村公示命名更名信息。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地名标志维护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1.实地踏查地标情况；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2.组织人员维护地标。</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协助维护地名标志。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无名道路命名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审核无名道路命名材料并批复。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1.指导村召开村无名道路命名会议；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2.编制村无名道路命名方案；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3.收集上报村无名道路命名材料；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4.组织村公示无名道路命名信息。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九、交通运输（2项）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农村公路养护、修缮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1.核实农村公路安全隐患情况；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2.组织实施农村公路养护、修缮。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1.排查上报公路隐患情况；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2.协助实施农村公路养护、修缮。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处置违规占道行为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2.组织处置违规占道行为。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1.排查劝导违规占道行为；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3.协助处置违规占道行为。</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十、文化和旅游（2项）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文物普查与文物保护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1.组织实施文物普查；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2.指导乡镇文物保护工作。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1.落实文物保护属地责任制；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2.上报发现的文物线索；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3.协助实施文物普查。</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安装应急广播设备</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1.组织乡镇征集应急广播设备安装选址意见；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2.汇总、研判选址意见，确定安装地点；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3.订购设备，组织人员安装。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收集上报应急广播设备安装选址意见。</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十一、卫生健康（1项）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走访慰问失独家庭</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县卫生健康和医疗保障局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2.走访慰问失独家庭。</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2.协助走访慰问失独家庭。</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十二、应急管理及消防（7项）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冬春救助办理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1.审核冬春救助申请材料；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2.拨付冬春救助资金。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1.统计冬春救助情况；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2.申报冬春救助材料；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3.发放冬春救助资金。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居民住宅燃气安全隐患整治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1.核实居民住宅燃气安全隐患情况；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2.组织整治居民住宅燃气安全隐患。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1.排查上报居民燃气安全隐患情况；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2.协助整治居民住宅燃气安全隐患。</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自然灾害防范处置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1.指导乡镇建立灾害应急预案和调度方案；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3.汇总风险隐患点清单，分析研判风险形势；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4.督促建立抢险救援队伍；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5.督促开展人防、物防、技防等日常演练；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6.汇总低洼易涝点、江河堤防等各类风险隐患点情况；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8.组织值班值守，汇总、处置灾害信息；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9.指导督促转移安置受灾群众；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10.审核、下拨救灾资金，交乡镇发放；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11.调度、下拨救灾物资，交乡镇发放；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12.指导受灾群众恢复灾后生产生活。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1.制定自然灾害应急预案和调度方案；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3.普及应对自然灾害自救常识；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4.填报辖区风险隐患点清单；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5.组建抢险救援队伍，组织防灾减灾救灾培训；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7.开展辖区内低洼易涝点、江河堤防、山塘水库、山洪和地质灾害危险区等各类风险隐患点巡查巡并上报清单；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9.组织人员值班值守、报送灾害信息；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10.出现险情时，及时组织受灾害威胁的居民及其他人员转移到安全地带；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11.发生灾情时，组织转移安置受灾群众；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12.受理自然灾害救助资金申请；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13.核实、上报申请人受灾情况；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14.将审核通过的受灾申请人信息录入系统；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15.代发自然灾害救助资金；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16.接收、发放上级下拨的救灾物资；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17.组织灾后受灾群众恢复生产生活。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安全生产监管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1.各行管部门组织开展各自安全生产知识普及活动；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2.各行管部门指导乡镇开展各自安全生产应急演练；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3.各行管部门组织开展各自“九小场所”等生产经营性单位的安全生产检查；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4.各行管部门组织开展各自行管生产经营性单位定期安全生产检查；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5.各行管部门发现各自问题，责令整改；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6.各行管部门组织开展各自行管生产经营性单位安全生产隐患整改情况检查，处置整改不到位、拒不整改行为；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7.接收、核实乡镇上报的安全生产事故信息,指导乡镇启动应急预案并报上级部门；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8.勘察、处置事故现场。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1.组织召开安全生产工作部署会议；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2.组织召开安全生产情况分析研判会议；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3.组织召开安全生产情况述职会议；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4.组织建立安全生产应急工作队伍；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5.编制安全生产应急预案；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6.指导各村制定应急事项处置方案；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7.指导生产经营单位落实安全生产责任；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8.组织开展燃气安全宣传活动；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9.组织焊接与切割从业人员参加安全教育培训；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10.组织开展焊接与切割作业安全宣传活动；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11.组织“安全生产月”和“白山松水安全行”宣传活动；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12.组织开展安全生产法律法规宣传活动；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13.组织观看燃气安全科普直播；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14.组织开展安全生产应急演练；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15.组织人员参与“九小场所”的燃气、醇基、经营性自建房、大跨度结构经营性场所、有限空间作业的安全生产检查；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16.组织人员参与企业、文旅场所、光伏电站等生产经营性单位的安全生产检查；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17.组织人员参与定期安全生产检查；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18.督促提醒生产经营性单位整改隐患；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19.组织人员参与安全生产隐患整改情况检查；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20.上报突发安全生产事故情况；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21.启动安全生产应急预案；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22.先期处置突发安全生产事故并组织群众撤离。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消防安全监管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县消防大队</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1.指导乡镇制定消防应急预案；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2.指导乡镇开展消防应急演练；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3.安排消防派驻文员排查易发现、易处置公共场所消防安全隐患，及时制止易发</w:t>
            </w:r>
            <w:bookmarkStart w:id="12" w:name="_GoBack"/>
            <w:bookmarkEnd w:id="12"/>
            <w:r>
              <w:rPr>
                <w:rFonts w:hint="eastAsia" w:ascii="Times New Roman" w:hAnsi="方正公文仿宋" w:eastAsia="方正公文仿宋"/>
                <w:kern w:val="0"/>
                <w:szCs w:val="21"/>
                <w:lang w:bidi="ar"/>
              </w:rPr>
              <w:t>现、易处置公共场所消防安全问题；</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4.发生火情时，组织疏散群众，处置火情；</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5.组织处置拒不整改问题。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1.落实消防安全责任制，制定消防安全制度、消防应急预案；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2.动态研判消防安全形势，研究部署消防工作，组织开展消防应急演练；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3.组织人员参与易发现、易处置公共场所消防安全隐患排查；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4.制止易发现、易处置公共场所消防安全隐患，发现无法彻底整改的消防隐患及时上报；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5.发生火情及时组织群众疏散；</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6.指导村（社区）确定消防安全管理人，制定防火公约，根据需要建立志愿消防队等多种形式的消防组织。</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森林草原防灭火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1.指导乡镇制定森林草原防灭火应急预案；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2.指导乡镇开展森林防灭火演练；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3.检查值班值守情况；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4.指导乡镇划分防灭火工作网格，组建半专业扑火队，明确工作责任；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5.指导乡镇建立防灭火物资库、管理防灭火物资；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6.发生火情时，调度火情及初期扑救情况，处置未扑灭森林火灾。</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1.宣传森林防灭火政策法规；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2.召开森林防火春秋两季动员部署会；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3.制定森林防灭火实施方案；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4.制定森林火灾应急预案；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5.签订政企联防协议；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6.组织森林草原防灭火演练；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7.设立防火检查卡点；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8.监督检查防火卡点值守情况；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9.落实防火期值班值守任务；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10.划分防灭火工作网格；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11.组建半专业扑火队伍；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12.落实半专业扑火队值班制度；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13.建立森林草原防灭火物资库；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14.管理森林草原防灭火物资；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15.向各村公布火险预警；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16.发现火情，上报森林草原火灾地点、火势大小、人员被困情况等信息；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17.在火势较小、保证安全的前提下，先行组织进行初期扑救。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水毁工程项目维修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1.审核水毁工程项目申报材料；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2.实地查看水利工程毁坏情况；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3.负责项目申报、向上争取资金、组织项目实施维修。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1.受理各村维修水毁项目申请材料；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2.审核维修水毁项目材料可行性；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3.上报水毁项目修复申请。</w:t>
            </w:r>
          </w:p>
        </w:tc>
      </w:tr>
    </w:tbl>
    <w:p>
      <w:pPr>
        <w:pStyle w:val="3"/>
        <w:spacing w:before="0" w:after="0" w:line="240" w:lineRule="auto"/>
        <w:jc w:val="center"/>
        <w:rPr>
          <w:rFonts w:ascii="Times New Roman" w:hAnsi="Times New Roman" w:eastAsia="方正小标宋_GBK" w:cs="Times New Roman"/>
          <w:color w:val="auto"/>
          <w:spacing w:val="7"/>
          <w:lang w:eastAsia="zh-CN"/>
        </w:rPr>
      </w:pPr>
      <w:r>
        <w:rPr>
          <w:rFonts w:ascii="Times New Roman" w:hAnsi="Times New Roman" w:eastAsia="方正小标宋_GBK" w:cs="Times New Roman"/>
          <w:color w:val="auto"/>
          <w:spacing w:val="7"/>
          <w:lang w:eastAsia="zh-CN"/>
        </w:rPr>
        <w:br w:type="page"/>
      </w:r>
      <w:bookmarkStart w:id="8" w:name="_Toc172077553"/>
      <w:bookmarkStart w:id="9" w:name="_Toc172077951"/>
      <w:bookmarkStart w:id="10" w:name="_Toc172077418"/>
      <w:bookmarkStart w:id="11" w:name="_Toc172533654"/>
      <w:r>
        <w:rPr>
          <w:rFonts w:hint="eastAsia" w:ascii="Times New Roman" w:hAnsi="Times New Roman" w:eastAsia="方正公文小标宋" w:cs="Times New Roman"/>
          <w:b w:val="0"/>
          <w:lang w:eastAsia="zh-CN"/>
        </w:rPr>
        <w:t>上级部门收回事项清单</w:t>
      </w:r>
      <w:bookmarkEnd w:id="8"/>
      <w:bookmarkEnd w:id="9"/>
      <w:bookmarkEnd w:id="10"/>
      <w:bookmarkEnd w:id="11"/>
    </w:p>
    <w:tbl>
      <w:tblPr>
        <w:tblStyle w:val="8"/>
        <w:tblW w:w="14045" w:type="dxa"/>
        <w:tblInd w:w="0" w:type="dxa"/>
        <w:tblLayout w:type="autofit"/>
        <w:tblCellMar>
          <w:top w:w="0" w:type="dxa"/>
          <w:left w:w="108" w:type="dxa"/>
          <w:bottom w:w="0" w:type="dxa"/>
          <w:right w:w="108" w:type="dxa"/>
        </w:tblCellMar>
      </w:tblPr>
      <w:tblGrid>
        <w:gridCol w:w="726"/>
        <w:gridCol w:w="4990"/>
        <w:gridCol w:w="8329"/>
      </w:tblGrid>
      <w:tr>
        <w:tblPrEx>
          <w:tblCellMar>
            <w:top w:w="0" w:type="dxa"/>
            <w:left w:w="108" w:type="dxa"/>
            <w:bottom w:w="0" w:type="dxa"/>
            <w:right w:w="108" w:type="dxa"/>
          </w:tblCellMar>
        </w:tblPrEx>
        <w:trPr>
          <w:cantSplit/>
          <w:trHeight w:val="658" w:hRule="atLeast"/>
          <w:tblHead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序号</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事项名称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承接部门及工作方式</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一、平安法治（3项）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出具法律援助经济状况证明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承接部门：县委政法委县司法局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工作方式：根据《法律援助法》相关规定，不再开展此项工作。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开展摩托车、人力三轮车、残疾人机动轮椅及装配动力装置的无牌无证车辆管理整治工作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1.公安局交通管理大队与交通运输局等相关部门组成联合工作小组；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2.通过社区摸牌、重点人员密集场所设点检查等工作方式，加强上述车辆及违法行为的查处力度，按照《中华人民共和国道路交通安全法》及相关法律法规规定开展处罚工作。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处罚不文明养犬行为</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1.在首次发现群众不文明养犬行为的，由治安大队、边管大队、各边境派出所下达整改通知书进行告诫；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2.在发现群众第二次或以上不文明养犬行为的，由治安大队、边管大队、各边境派出所按照《白山市养犬管理条例》规定予以处罚。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二、乡村振兴（18项）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食用菌菌种生产经营许可</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1.行政相对人提出申请；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2.受理、审核行政相对人申请材料；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3.发放食用菌菌种生产经营许可证。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对农药经营者未取得农药经营许可证经营农药，经营假农药，在农药中添加物质，取得农药经营许可证的农药经营者不再符合规定条件继续经营农药的处罚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调查处理未按照规定及时回收农药包装废弃物交由专门的机构或者组织进行无害化处理案件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3.下达处罚决定。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收割机、拖拉机等农机技能操作培训</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1.汇总培训人员名单；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2.组织人员进行培训。</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规模以下畜禽养殖废弃物综合利用指导和服务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1.畜牧业管理中心根据省畜牧局确定的畜禽粪污资源化利用主推技术，结合县域实际确定主推技术；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2.畜牧业管理中心组织乡镇畜牧兽医工作人员和村级防疫员开展畜禽粪污资源化利用培训，由乡镇畜牧工作人员入户指导；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3.畜牧业管理中心联合各乡镇综合服务中心（畜牧科)对辖区内的畜禽养殖户现场进行技术指导，确保畜禽粪污有效利用。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乡镇引导县农业农村局相关工作人员到现场进行技术指导。</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农业机械安全监督检查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1.对农业机械安全监督检查；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2.发现问题并处理。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拖拉机、联合收割机登记、证书和牌照核发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2.审核确认后发放拖拉机、联合收割机登记、证书和牌照。</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拖拉机、联合收割机操作人员操作证件核发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2.审核确认后发放拖拉机、联合收割机操作人员操作证件。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对推广惠农类APP的考核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工作方式：落实党中央精简优化基层考核有关要求，不再开展此项工作。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对培育新增休闲农业经营主体任务的考核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3.报上一级组织考核。</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动物疫情信息采集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1.畜牧业管理中心通过主动监测信息采集、被动报告信息采集，接收养殖场户、屠宰企业、动物诊疗机构、社会公众等的疫情报告；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2.畜牧业管理中心对报告的疫情信息进行详细记录，及时核实报告信息的真实性和准确性；​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3.畜牧业管理中心对存在问题的信息进行样品采集，对采集的动物样本及时进行实验室检测，为疫情诊断提供科学依据；​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4.畜牧业管理中心流行病学调查信息采集，当发现疑似或确诊动物疫情时，及时开展流行病学调查，分析疫情传播链和可能的扩散范围。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动物及动物产品检疫</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1.畜牧业管理中心受理申请人提出的申请；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2.畜牧业管理中心官方兽医进行检疫；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3.畜牧业管理中心出具检疫证。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组织收集、处理并溯源在江河、湖泊、水库等水域发现的死亡畜禽</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1.接受举报或检查过程中发现死亡畜禽相关单位第一时间上报县政府，由县政府指派收集单位；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派单位及时开展收集和溯源工作，并及时通报县畜牧业管理中心。由畜牧业管理中心指派农业综合执法大队（畜牧）进行无害化处理指导，并配合指派单位开展溯源，对未按照规定随意弃置病死动物养殖场户由农业综合执法大队（畜牧）按照《动物防疫法》规定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3.病死畜禽收集、无害化处理工作按照就近处理的原则，由农业综合执法大队（畜牧）做好防疫评估，确定处理场所，指导指派单位做好人员防护和消毒，及时开展车辆、相关工具及作业环境进行消毒；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4.在城市公共场所和乡村发现的死亡畜禽，依法由所在地街道办事处、乡级人民政府组织收集、处理并溯源。并按本流程第2条要求开展无害化处理工作。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畜牧品种试验和推广应用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1.畜牧业管理中心根据省畜牧业主推技术和主推品种，结合实际畜牧业发展的基本情况，依托畜牧业科技示范基地开展畜牧业主推技术和主推品种示范推广工作；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2.畜牧业管理中心通过开展培训和技术讲座、组织实地观摩活动、制作宣传手册等方式，提高畜牧新技术和畜禽品种推广的宣传力度，重点推广优质品种以及高产高效养殖技术，为基层养殖户提供科技帮扶；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乡镇畜牧业技术人员在入户技术指导中宣传推广新品种、新技术，组织本地养殖户参加相关培训和观摩活动，推动畜牧技术推广的持续和发展。</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水产公共信息和水产技术宣传教育、培训服务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1.制作宣传材料；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2.开展水产公共信息和水产技术宣传教育、培训服务。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开展惠民保征缴工作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对惠民保征缴工作的考核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农产品产地冷藏保鲜设施建设</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3.报上一级组织审核。</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三、社会管理（5项）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对完成城镇新增就业人数任务的考核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1.由市就业局发布工作考核指标；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2.结合实际情况向各乡镇分配任务数，督促各乡镇完成考核任务。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创业实体信息及就业务工信息统计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1.网上受理企业提出的用工备案申请；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2.对符合要求的，审核通过；对不符合要求的，提出修改补正意见，并反馈企业。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高校应届毕业生生源信息核查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1.根据市人才交流部门下发本年度高校毕业生数据核查高校应届毕业生生源信息；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2.统计上报高校毕业生源核查情况。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对违规领取80岁以上高龄津贴的追缴</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1.接受举报或检查过程中发现违规领取高龄津贴问题，立即联系医疗、公安部门进行信息比对核实；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2.确定违规领取金额，联系津贴发放数据信息中老人直系亲属的联系人，告知其违规领取及回退津贴事宜；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3.追缴违规领取款项并上缴财政。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出具婚姻状况证明（婚姻关系证明、分居证明）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四、自然资源（9项）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土地征收、征用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1.发布征收土地预公告并开展拟征收土地现状调查和社会稳定风险评估；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2.依据社会稳定风险评估结果，结合土地现状调查情况，组织自然资源、财政、农业农村、人力资源和社会保障等有关部门拟定征地补偿安置方案，并发布补偿安置方案公告；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3.组织补偿登记，拟征收土地的所有权人、使用权人应在公告期限内持相关证明到村委会或征收部门办理补偿登记并签订征收补偿协议；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4.前期工作完成，权属及补偿无任何争议后，由县自然资源部门代县政府进行组卷报有审批权限的人民政府申请土地征收；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5.征收土地申请经依法批准后，自收到批准文件之日起十五个工作日内在政府网站、征收土地所在的乡（镇）政务公开栏和村务公开栏以及村民小组显著位置进行征收土地公告。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开展地质灾害隐患判定、治理工作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1.组织开展新增隐患点的申报工作；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2.对申报的隐患点进行实地调查，收集相关数据和信息；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3.组织专家对调查结果进行论证，确定隐患点的存在与否及其危险程度；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4.根据论证结果，对确认的隐患点进行登记和记录；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5.将确认的隐患点信息向社会公开，接受监督。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对未经批准或者未按照批准的取水许可规定条件取水的处罚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1.接到举报或检查后，指定专人调查；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2.审查违法事实、证据及法律适用，提出处罚建议；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3.处罚决定生效后按照有关法律程序执行。</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公益林管护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1.组织、指导公益林林权所有者开展公益林管理、管护和检查工作；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2.组织、指导各乡镇人民政府林业部门开展护林人员选聘、考核、公益林保护和补偿资金申报等工作；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3.组织、指导各乡镇人民政府宣传公益林保护法律法规政策，开展公益林管护人员管理和日常公益林管护等工作。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对擅自移动或者毁坏森林保护标志的行政处罚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4.对擅自移动或者毁坏森林保护的标志予以恢复。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对擅自移动或者毁坏林业服务标志的行政处罚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4.对擅自移动或者毁坏林业服务的标志予以恢复。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对破坏或者擅自改变基本农田保护区标志的处罚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3.按照相关法律法规予以处罚；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4.对破坏或者擅自改变的基本农田保护区标志予以恢复。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对单位或者个人，伪造、变卖、买卖、租借采伐许可证的行政处罚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4.没收证件和违法所得。</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印发村牧业用地使用证</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1.确定牧业用地；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2.县自然资源和林业局审核牧业用地；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3.上报材料，县人民政府审核牧业用地使用权；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4.县自然资源和林业局印制发放牧业用地使用证。</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五、生态环保（14项）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对产生、收集、贮存、运输、利用、处置固体废物的单位未依法及时公开固体废物污染环境防治信息的处罚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未经同意在江河、湖泊新建、改建或者扩大排污口的处罚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对从事畜禽规模养殖未及时收集、贮存、利用或者处置养殖过程中产生的畜禽粪污等固体废物的处罚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对施工单位的建筑土方、工程渣土、建筑垃圾未及时清运，或者未采用密闭式防尘网遮盖的行政处罚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对运输煤炭、垃圾、渣土、砂石、土方、灰浆等散装、流体物料的车辆，未采取密闭或者其他措施防止物料遗撒的行政处罚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1.接受举报或巡查中发现，城市建成区范围内未密闭或者其他措施防止物料遗撒的车辆；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1.接受举报或巡查中发现，国道、省道、县道公路范围内未密闭或者其他措施防止物料遗撒的车辆；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对农业投入品生产者、销售者、使用者未按照规定及时回收肥料等农业投入品的包装废弃物、农用薄膜，或者未按照规定及时回收农药包装废弃物交由专门的机构或者组织进行无害化处理的行政处罚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炸鱼、毒鱼、电鱼等破坏渔业资源方法进行捕捞的，违反关于禁渔区、禁渔期的规定进行捕捞的或者使用禁用的渔具、捕捞方法和小于最小网目尺寸的网具进行捕捞或者渔获物中幼鱼超过规定比例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对随意倾倒、抛撒、堆放或者焚烧生活垃圾的行政处罚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代为恢复植被和林业生产条件或代为补种树木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1.明确需要承担恢复或补种责任的单位或个人；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2.对受损区域进行详细的实地勘查，记录受损情况；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3.根据勘查结果，结合当地的自然条件和林业发展规划，制定具体的恢复或补种方案；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4.按照方案要求，对受损的林地进行整理，如平整土地、改良土壤等，恢复其适宜林业生产的条件；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5.根据选定的植被种类和种植方式，进行树苗种植或草种播撒，确保种植质量和密度符合标准；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6.定期对补种的树木和植被进行浇水、施肥、除草、病虫害防治等养护工作，提高成活率和生长质量；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7.在恢复过程中，定期对工作进展和效果进行检查，及时发现问题并采取整改措施。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对森林资源的保护、修复、利用、更新等的监督检查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1.明确检查的范围、内容、方式、时间安排等，确定检查人员和分工；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2.收集造林更新的相关设计方案、基础数据；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3.检查台账资料是否完善，检查属地是否进行采伐迹地更新造林验收等；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过现地查看，检查造林更新是否按审批要求完成任务，包括造林地块、树种、造林方式等是否符合设计；核实更新造林成活率、保存率是否达标；测量实际造林更新面积是否与申报一致；查看造林质量，苗木生长状况、整地质量、抚育管理措施等是否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5.对检查中发现的问题进行梳理和认定向，被检查单位或个人反馈问题，提出整改要求和期限。对整改情况进行跟踪检查，确保问题得到有效整改,对整改不到位的，依法依规进行处理。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对开办生产建设项目或者从事其他生产建设活动，按规定编制水土保持方案的监督检查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1.水利局受理群众举报和所在乡镇移交违（规）法行为线索，对违法地点进行现场核实；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2.水利局初步认定违法事实后，水利局河湖科下发限期整改通知书，责令停止违法行为、限期补办手续；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3.水利局对逾期不补办手续的行为进行处罚；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4.水利局将违法处理结果通报相关乡镇人民政府。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乡镇发现违法行为及时向部门移交线索。</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开展林业有害生物监测、检疫和防治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1.组织、指导开展林业有害生物监测、检疫和防治；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2.组织开展各乡镇人民政府林业有害生物调查资料的统计和上报；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3.组织、指导开展各乡镇人民政府松材线虫病疫情监测、监管平台春季和秋季普查、美国白蛾监测等重大林业有害生物监测工作。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外来入侵物种普查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2.调查结果上报、存档。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1.组织人员开展外来入侵物种监管；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2.监管结果上报、存档。</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六、城乡建设（9项）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对临时建筑物、构筑物和其他设施限期拆除期满仍不拆除的强制拆除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1.对国有建设用地内临时建筑物、构筑物和其他设施拒不停止建设和拆除的，做出责令停止建设或者限期拆除决定；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2.在做出责令停止建设或者限期拆除决定到期后，当事人仍不停止建设或者逾期不拆除的，由县人民政府责成相关部门进行拆除。</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建设工程各类合同及相关备案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对建设单位或者个人未经批准进行临时建设、未按照批准内容进行临时建设，临时建筑物、构筑物超过批准权限不拆除的处罚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1.对违法建筑进行调查，查清违法建设的基本情况。同时，收集相关证据，如现场照片、当事人陈述等;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2.根据工程中标价格、工程承包合同价格等因素确定违法建设工程造价。如果存在异议，可以通过聘请相关专业评估;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3.根据《中华人民共和国城乡规划法》的相关规定，对违法行为进行处罚。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对侵占、毁坏水工程及堤防、护岸等有关设施，毁坏防汛、水文监测、水文地质监测设施等行为的处罚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1.接到举报或相关部门的通报后承办人组织2名以上水政监察员会同相关部门进行调查取证，根据现场情况，听取当事人辩解陈述并作记录；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2.审查案件调查报告，对案件违法事实、证据、调查取证程序、法律适用、处罚种类和幅度、当事人陈述和申辩理由等方面进进审查，提出处理意见；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3.制作行政处罚决定书，载明行政处罚告知、当事人陈述申辩或者听证情况等内容；                               4.行政处罚决定书按法律规定的方式送达当事人；                                                           5.依照生效的行政处罚决定，执行责令改正、没收违法所得、罚款等处罚项目；                                     6.其他法律法规规章规定应履行的责任。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1.县水文勘测大队接到举报或相关部门的通报后承办人进行调查取证；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2.将调查取证情况上报省水利厅；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3.水利厅相关部门依法作出处罚决定。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对建筑垃圾储运消纳场收纳工业垃圾、生活垃圾和有毒有害垃圾的处罚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1.接受举报或巡查中发现建筑垃圾储运消纳场收纳工业垃圾、生活垃圾和有毒有害垃圾；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2.对建筑垃圾储运消纳场下达《限期改正通知书》，并限期整改，整改完成后报主管部门复查；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对未经水行政主管部门批准，占用农业灌溉水源、灌排工程设施的行政处罚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1.接受举报或工程所在乡镇、农业农村局移交的未经水行政主管部门批准，占用农业灌溉水源、灌排工程设施的违法（规）行为；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3.按照《吉林省农村水利管理条例》第四十一条进行处罚；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4.涉及小型农田水利工程的案件处罚结果通报农业农村局。</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开展农村住房安全鉴定评定工作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1.由住建局、乡镇政府，组织专业技术人员、村干部等成立农村住房安全鉴定评定工作小组；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自建房安全等级鉴定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1.由住建局、乡镇政府及第三方鉴定机构、村干部等成立自建房安全等级鉴定工作小组；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房屋安全评估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1.由房屋产权人（使用人）向乡镇政府提出申请房屋安全评估，并提交房屋基础资料，如房屋建造年代、结构类型、建筑面积等；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2.由住建局组织乡镇政府组织专业技术人员和镇村级乡建工作人员进行现场调查。对房屋的整体外观进行观察，检查房屋是否有明显的倾斜、裂缝、变形等情况。重点检查墙体、屋面、基础等部位；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4.告知产权人（使用人）房屋安全等级及整治方法，并出具《农村住房安全评定报告》。</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七、交通运输（5项）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对损坏、移动、涂改公路附属设施或者损坏、挪动建筑控制区的标桩、界桩，可能危及公路安全的行政处罚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对将公路作为试车场地的行政处罚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对使用拖拉机、联合收割机违反规定载人的行政处罚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1.县农业农村局联合县公安局交通管理大队组成工作专班；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2.对农村地区拖拉机、联合收割机违反规定载人开展突击联合检查；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3.交警部门在农村重点道路设置执勤点，对发现的上述车辆违法规定载人问题，按照《中华人民共和国道路交通安全法》及相关法律法规规定开展处罚工作。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对普通国省干线用地范围内摆摊设点、堆放物品、倾倒垃圾、设置障碍、挖沟引水、利用公路边沟排放污物等造成公路路面损坏、污染或者影响公路畅通等违法行为的查处</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对车辆装载物触地拖行、掉落、遗洒或者飘散，造成公路路面损坏、污染的行为的行政处罚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八、卫生健康（8项）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开展计划生育纪念日、会员日服务活动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1.制定工作方案，下发活动通知；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2.乡镇开展活动，上报工作总结。</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办理《流动人口婚育证明》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社会抚养费征收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再生育审批</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工作方式：根据优化生育政策要求，不再开展此项工作。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追回超领、冒领计划生育各类扶助资金、补助资金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1.接受举报或检查过程中发现有超领、冒领计划生育各类扶助资金的人员时，与所属乡镇进行信息核实；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2.核实追缴数额，通知本人及家属限期返还超领、冒领资金；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3.确认追缴资金返还县卫生健康和医疗保障局账户，由县卫生健康和医疗保障局返还县财政。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计划生育家庭特别扶助金审核确认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农村部分计划生育家庭奖励扶助金审核确认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免费向已婚育龄夫妻提供避孕药具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1.设立97个人工免费发放点和2个自动发放点，提供免费避孕药具；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2.组织各乡镇卫生院领取免费避孕药具并发放；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3.收集药具调拨、发放、放置信息并上报。</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九、应急管理及消防（12项）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小型水库安全监督和防汛监督管理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1.到水库现场进行检查，汛期监督小型水库防汛情况，采取水库日报汛，自动监测系统监督；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2.根据天气预报情况，及时通知水库做好汛期巡查，对存在安全运行问题的单位下达整改通知并督促整改；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3.水库水位超汛限时上报防汛指挥部，由水利局防汛专家组会商确定是否泄洪及泄洪时间。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编制总体应急预案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1.当总体应急预案效力终止或需更新调整时通过招投标的方式确定预案制作第三方公司；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2.制作完成后，在政府官方网站进行公示。</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对烟花爆竹经营企业的监督检查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1.按照年初制定的执法检查计划，定期对烟花爆竹经营企业开展执法检查；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2.由执法工作人员对企业现场、内业材料等依据《中华人民共和国安全生产法》、《烟花爆竹经营管理条例》等法律法规进行检查，并下达检查文书，要求督促相关企业在规定的时间内完成整改；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3.对春节期间烟花爆竹临时摊床进行动态巡查，发现问题及时要求经营者立即进行问题整改；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4.在春节期间各乡镇应急办对本乡镇的烟花爆竹临时摊床进行日常巡查，发现问题隐患及时要求整改。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建立微型消防站</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承接部门：县消防大队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1.根据上级工作方案部署要求，推进建立微型消防站工作；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2.指导建设单位完成微型消防站建设。</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对生产经营单位消除重大事故隐患的监督检查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1.对非煤矿山、危险化学品和烟花爆竹企业自查上报、监管执法查处、监察发现移交的重大事故隐患实施跟踪督办；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2.县应急管理局查明非煤矿山、危险化学品和烟花爆竹企业重大事故隐患产生的经过和原因，认定有关责任方的责任，明确整改措施，依法提出对责任单位和责任人的处理建议；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3.非煤矿山、危险化学品和烟花爆竹企业按照“五落实”制定整改方案，整改完成后向县应急管理局提出复查申请；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应急管理局组织人员对非煤矿山、危险化学品和烟花爆竹企业整改情况进行复查，检查隐患是否整改到位。对整改完成的销号；对未按要求完成整改的依照有关规定对企业主要负责人进行约谈；对重大事故隐患整改不及时、仍冒险作业的，依法责令停产整顿，并移送相关部门依法暂扣证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5.各行管部门根据《长白县管行业必须管安全、管业务必须管安全、管生产经营必须管安全实施细则》负责本行业领域的生产经营单位消除重大事故隐患情况进行监督检查。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烟花爆竹经营（零售）许可证换证现场核查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依据《烟花爆竹经营许可实施办法》由执法人员对烟花爆竹零售企业进行现场核查。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对存在重大危险源的危险化学品单位的监督检查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1.制定对存在重大危险源的危险化学品单位的监督检查计划、方案；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对粉尘涉爆企业实施安全监督管理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1.按照制定的执法检查计划，对粉尘涉爆企业开展执法检查；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2.组织执法人员对企业现场、内页资料进行检查；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检查结果，依据相关法律法规，向企业下达执法文书，要求企业在规定的时限内完成整改；对于存在严重违法行为或拒不整改隐患的企业，严格按照法律规定进行立案查处，实施罚款、停产停业整顿、吊销相关许可证等行政处罚措施；</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4.整改期限到期后，及时对企业进行复查，核实问题隐患的整改情况。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企业应急预案备案材料初审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2.县应急管理局负责接收非煤矿山、危险化学品和烟花爆竹企业申报材料，并对材料进行核对。材料不全的，一次性告知生产经营单位需要补齐的材料；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3.县应急管理局审查非煤矿山、危险化学品和烟花爆竹企业的申报材料是否齐全、符合规定格式，应急预案的编制是否符合相关导则和标准要求，内容是否完整，要素是否齐全；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企业，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5.各行管部门根据《突发事件应急预案管理办法》负责本行业领域企业应急预案备案材料初审。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开展加油站危险化学品、设备设施安全检查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1.按照年初制定的执法检查计划，定期对加油站危险化学品、设备设施安全开展执法检查；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2.执法工作人员对企业现场、内业材料等依据《中华人民共和国安全生产法》、《危险化学品管理条例》等法律法规进行检查，并下达检查文书，要求督促相关企业在规定的时间内完成整改。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生产经营单位生产安全事故应急预案备案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2.县应急管理局负责接收非煤矿山、危险化学品和烟花爆竹生产经营单位申报材料，并对材料进行核对。材料不全的，一次性告知生产经营单位需要补齐的材料；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3.县应急管理局审查非煤矿山、危险化学品和烟花爆竹生产经营单位申报材料是否齐全、符合规定格式，应急预案的编制是否符合相关导则和标准要求，内容是否完整，要素是否齐全；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生产经营单位，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5.各行管部门根据《突发事件应急预案管理办法》负责本行业领域生产经营单位生产安全事故应急预案备案。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对非药品类易制毒化学品生产、经营的监督检查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1.制定对非药品类易制毒化学品生产、经营企业的监督检查计划、方案；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十、市场监管（3项）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特种设备专项整治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bl>
    <w:p>
      <w:pPr>
        <w:pStyle w:val="3"/>
        <w:spacing w:before="0" w:after="0" w:line="240" w:lineRule="auto"/>
        <w:jc w:val="center"/>
        <w:rPr>
          <w:rFonts w:ascii="Times New Roman" w:hAnsi="Times New Roman" w:eastAsia="方正小标宋_GBK" w:cs="Times New Roman"/>
          <w:color w:val="auto"/>
          <w:spacing w:val="7"/>
          <w:lang w:eastAsia="zh-CN"/>
        </w:rPr>
      </w:pPr>
    </w:p>
    <w:p>
      <w:pPr>
        <w:rPr>
          <w:rFonts w:ascii="Times New Roman" w:hAnsi="Times New Roman" w:cs="Times New Roman" w:eastAsiaTheme="minorEastAsia"/>
          <w:lang w:eastAsia="zh-CN"/>
        </w:rPr>
      </w:pPr>
    </w:p>
    <w:sectPr>
      <w:footerReference r:id="rId5" w:type="default"/>
      <w:pgSz w:w="16837" w:h="11905" w:orient="landscape"/>
      <w:pgMar w:top="1418" w:right="1418" w:bottom="1418" w:left="1418" w:header="851" w:footer="90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仿宋">
    <w:altName w:val="仿宋"/>
    <w:panose1 w:val="02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公文小标宋">
    <w:altName w:val="宋体"/>
    <w:panose1 w:val="02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公文黑体">
    <w:altName w:val="黑体"/>
    <w:panose1 w:val="02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59264;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f1GNz7A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q9u+70QAA&#10;AAMBAAAPAAAAAAAAAAEAIAAAACIAAABkcnMvZG93bnJldi54bWxQSwECFAAUAAAACACHTuJAX9Rj&#10;c+wBAAC0AwAADgAAAAAAAAABACAAAAAgAQAAZHJzL2Uyb0RvYy54bWxQSwUGAAAAAAYABgBZAQAA&#10;fg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3050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60288;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q9u+7&#10;0QAAAAMBAAAPAAAAAAAAAAEAIAAAACIAAABkcnMvZG93bnJldi54bWxQSwECFAAUAAAACACHTuJA&#10;hrJv4O8BAAC0AwAADgAAAAAAAAABACAAAAAgAQAAZHJzL2Uyb0RvYy54bWxQSwUGAAAAAAYABgBZ&#10;AQAAgQ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方正仿宋简体" w:hAnsi="方正仿宋简体" w:eastAsia="方正仿宋简体" w:cs="方正仿宋简体"/>
        <w:sz w:val="24"/>
      </w:rPr>
    </w:pPr>
    <w:r>
      <w:rPr>
        <w:rFonts w:hint="eastAsia" w:ascii="方正仿宋简体" w:hAnsi="方正仿宋简体" w:eastAsia="方正仿宋简体" w:cs="方正仿宋简体"/>
        <w:sz w:val="24"/>
        <w:szCs w:val="24"/>
      </w:rPr>
      <w:t xml:space="preserve">第 </w:t>
    </w:r>
    <w:r>
      <w:rPr>
        <w:rFonts w:ascii="Times New Roman" w:hAnsi="Times New Roman" w:eastAsia="方正仿宋简体"/>
        <w:sz w:val="24"/>
      </w:rPr>
      <w:fldChar w:fldCharType="begin"/>
    </w:r>
    <w:r>
      <w:rPr>
        <w:rFonts w:ascii="Times New Roman" w:hAnsi="Times New Roman" w:eastAsia="方正仿宋简体" w:cs="Times New Roman"/>
        <w:sz w:val="24"/>
        <w:szCs w:val="24"/>
      </w:rPr>
      <w:instrText xml:space="preserve"> PAGE  \* MERGEFORMAT </w:instrText>
    </w:r>
    <w:r>
      <w:rPr>
        <w:rFonts w:ascii="Times New Roman" w:hAnsi="Times New Roman" w:eastAsia="方正仿宋简体"/>
        <w:sz w:val="24"/>
      </w:rPr>
      <w:fldChar w:fldCharType="separate"/>
    </w:r>
    <w:r>
      <w:rPr>
        <w:rFonts w:ascii="Times New Roman" w:hAnsi="Times New Roman" w:eastAsia="方正仿宋简体"/>
        <w:sz w:val="24"/>
      </w:rPr>
      <w:t>3</w:t>
    </w:r>
    <w:r>
      <w:rPr>
        <w:rFonts w:ascii="Times New Roman" w:hAnsi="Times New Roman" w:eastAsia="方正仿宋简体"/>
        <w:sz w:val="24"/>
      </w:rPr>
      <w:fldChar w:fldCharType="end"/>
    </w:r>
    <w:r>
      <w:rPr>
        <w:rFonts w:hint="eastAsia" w:ascii="方正仿宋简体" w:hAnsi="方正仿宋简体" w:eastAsia="方正仿宋简体" w:cs="方正仿宋简体"/>
        <w:sz w:val="24"/>
        <w:szCs w:val="24"/>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9C"/>
    <w:multiLevelType w:val="multilevel"/>
    <w:tmpl w:val="1599329C"/>
    <w:lvl w:ilvl="0" w:tentative="0">
      <w:start w:val="1"/>
      <w:numFmt w:val="decimal"/>
      <w:pStyle w:val="7"/>
      <w:lvlText w:val="%1."/>
      <w:lvlJc w:val="left"/>
      <w:pPr>
        <w:ind w:left="420" w:hanging="420"/>
      </w:pPr>
      <w:rPr>
        <w:b w:val="0"/>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94"/>
    <w:rsid w:val="000047CA"/>
    <w:rsid w:val="0008314E"/>
    <w:rsid w:val="000A7693"/>
    <w:rsid w:val="001234A4"/>
    <w:rsid w:val="00130BD7"/>
    <w:rsid w:val="0014273D"/>
    <w:rsid w:val="001575AA"/>
    <w:rsid w:val="001810B0"/>
    <w:rsid w:val="00181AB4"/>
    <w:rsid w:val="001916F2"/>
    <w:rsid w:val="001D0D80"/>
    <w:rsid w:val="001F251B"/>
    <w:rsid w:val="001F3E9F"/>
    <w:rsid w:val="001F4027"/>
    <w:rsid w:val="00205B9E"/>
    <w:rsid w:val="0021240C"/>
    <w:rsid w:val="00245B02"/>
    <w:rsid w:val="00266573"/>
    <w:rsid w:val="002706D0"/>
    <w:rsid w:val="0027432A"/>
    <w:rsid w:val="00283325"/>
    <w:rsid w:val="002B1C9B"/>
    <w:rsid w:val="002C7D57"/>
    <w:rsid w:val="00323128"/>
    <w:rsid w:val="00332498"/>
    <w:rsid w:val="00384253"/>
    <w:rsid w:val="003A2345"/>
    <w:rsid w:val="003A4EAB"/>
    <w:rsid w:val="003A67C0"/>
    <w:rsid w:val="003B25EE"/>
    <w:rsid w:val="003B6491"/>
    <w:rsid w:val="00436A05"/>
    <w:rsid w:val="0045146E"/>
    <w:rsid w:val="00454E9C"/>
    <w:rsid w:val="00496286"/>
    <w:rsid w:val="004C1612"/>
    <w:rsid w:val="004C3B4B"/>
    <w:rsid w:val="00556418"/>
    <w:rsid w:val="0055782E"/>
    <w:rsid w:val="005F3046"/>
    <w:rsid w:val="005F4A95"/>
    <w:rsid w:val="00621683"/>
    <w:rsid w:val="00624E87"/>
    <w:rsid w:val="00635096"/>
    <w:rsid w:val="00670175"/>
    <w:rsid w:val="00691C2F"/>
    <w:rsid w:val="00693EEA"/>
    <w:rsid w:val="006E6CDB"/>
    <w:rsid w:val="006F07E4"/>
    <w:rsid w:val="007066F0"/>
    <w:rsid w:val="00735E5D"/>
    <w:rsid w:val="007364DC"/>
    <w:rsid w:val="00743BB1"/>
    <w:rsid w:val="00745330"/>
    <w:rsid w:val="00757D6B"/>
    <w:rsid w:val="0076256B"/>
    <w:rsid w:val="00764690"/>
    <w:rsid w:val="007A235A"/>
    <w:rsid w:val="0080494D"/>
    <w:rsid w:val="00821188"/>
    <w:rsid w:val="00846E5D"/>
    <w:rsid w:val="00854E2C"/>
    <w:rsid w:val="008C6462"/>
    <w:rsid w:val="008D168C"/>
    <w:rsid w:val="00944BE5"/>
    <w:rsid w:val="0099530A"/>
    <w:rsid w:val="00997B94"/>
    <w:rsid w:val="009B6F21"/>
    <w:rsid w:val="009B71A6"/>
    <w:rsid w:val="009D1B6F"/>
    <w:rsid w:val="009F1C84"/>
    <w:rsid w:val="00A44440"/>
    <w:rsid w:val="00AE3464"/>
    <w:rsid w:val="00AF196D"/>
    <w:rsid w:val="00AF4537"/>
    <w:rsid w:val="00AF79DD"/>
    <w:rsid w:val="00B04B4F"/>
    <w:rsid w:val="00B226F7"/>
    <w:rsid w:val="00B356FE"/>
    <w:rsid w:val="00B376AB"/>
    <w:rsid w:val="00B55596"/>
    <w:rsid w:val="00B60217"/>
    <w:rsid w:val="00B67212"/>
    <w:rsid w:val="00B7677F"/>
    <w:rsid w:val="00BD3ECB"/>
    <w:rsid w:val="00BE017C"/>
    <w:rsid w:val="00C00BFB"/>
    <w:rsid w:val="00C36F45"/>
    <w:rsid w:val="00C745D6"/>
    <w:rsid w:val="00CA06A0"/>
    <w:rsid w:val="00CC273C"/>
    <w:rsid w:val="00CD06DB"/>
    <w:rsid w:val="00CF3786"/>
    <w:rsid w:val="00D04434"/>
    <w:rsid w:val="00D071D3"/>
    <w:rsid w:val="00D23A49"/>
    <w:rsid w:val="00DA62D8"/>
    <w:rsid w:val="00DA70AC"/>
    <w:rsid w:val="00DE5D96"/>
    <w:rsid w:val="00E04FAF"/>
    <w:rsid w:val="00E22E8D"/>
    <w:rsid w:val="00E30699"/>
    <w:rsid w:val="00E34FB1"/>
    <w:rsid w:val="00E37CBB"/>
    <w:rsid w:val="00E56BCC"/>
    <w:rsid w:val="00EC24D2"/>
    <w:rsid w:val="00F24092"/>
    <w:rsid w:val="00F417B3"/>
    <w:rsid w:val="00FA2D9F"/>
    <w:rsid w:val="00FA6C61"/>
    <w:rsid w:val="00FC2FBD"/>
    <w:rsid w:val="00FD6B5A"/>
    <w:rsid w:val="18CA3BAE"/>
    <w:rsid w:val="1B4F5658"/>
    <w:rsid w:val="2D3A0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12"/>
    <w:qFormat/>
    <w:uiPriority w:val="0"/>
    <w:pPr>
      <w:spacing w:before="240" w:after="60"/>
      <w:jc w:val="center"/>
      <w:outlineLvl w:val="0"/>
    </w:pPr>
    <w:rPr>
      <w:b/>
      <w:sz w:val="32"/>
    </w:rPr>
  </w:style>
  <w:style w:type="paragraph" w:styleId="4">
    <w:name w:val="Body Text"/>
    <w:basedOn w:val="1"/>
    <w:link w:val="13"/>
    <w:semiHidden/>
    <w:qFormat/>
    <w:uiPriority w:val="0"/>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numPr>
        <w:ilvl w:val="0"/>
        <w:numId w:val="1"/>
      </w:numPr>
    </w:pPr>
    <w:rPr>
      <w:rFonts w:ascii="Times New Roman" w:hAnsi="Times New Roman" w:eastAsia="方正公文仿宋"/>
      <w:sz w:val="32"/>
    </w:rPr>
  </w:style>
  <w:style w:type="character" w:styleId="10">
    <w:name w:val="page number"/>
    <w:qFormat/>
    <w:uiPriority w:val="0"/>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标题 字符"/>
    <w:basedOn w:val="9"/>
    <w:link w:val="2"/>
    <w:qFormat/>
    <w:uiPriority w:val="0"/>
    <w:rPr>
      <w:rFonts w:ascii="Arial" w:hAnsi="Arial" w:eastAsia="Arial" w:cs="Arial"/>
      <w:b/>
      <w:snapToGrid w:val="0"/>
      <w:color w:val="000000"/>
      <w:kern w:val="0"/>
      <w:sz w:val="32"/>
      <w:szCs w:val="21"/>
      <w:lang w:eastAsia="en-US"/>
    </w:rPr>
  </w:style>
  <w:style w:type="character" w:customStyle="1" w:styleId="13">
    <w:name w:val="正文文本 字符"/>
    <w:basedOn w:val="9"/>
    <w:link w:val="4"/>
    <w:semiHidden/>
    <w:qFormat/>
    <w:uiPriority w:val="0"/>
    <w:rPr>
      <w:rFonts w:ascii="Arial" w:hAnsi="Arial" w:eastAsia="Arial" w:cs="Arial"/>
      <w:snapToGrid w:val="0"/>
      <w:color w:val="000000"/>
      <w:kern w:val="0"/>
      <w:szCs w:val="21"/>
      <w:lang w:eastAsia="en-US"/>
    </w:rPr>
  </w:style>
  <w:style w:type="character" w:customStyle="1" w:styleId="14">
    <w:name w:val="页脚 字符"/>
    <w:basedOn w:val="9"/>
    <w:link w:val="5"/>
    <w:qFormat/>
    <w:uiPriority w:val="0"/>
    <w:rPr>
      <w:rFonts w:ascii="Arial" w:hAnsi="Arial" w:eastAsia="Arial" w:cs="Arial"/>
      <w:snapToGrid w:val="0"/>
      <w:color w:val="000000"/>
      <w:kern w:val="0"/>
      <w:sz w:val="18"/>
      <w:szCs w:val="18"/>
      <w:lang w:eastAsia="en-US"/>
    </w:rPr>
  </w:style>
  <w:style w:type="paragraph" w:customStyle="1" w:styleId="15">
    <w:name w:val="_Style 5"/>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16">
    <w:name w:val="font21"/>
    <w:qFormat/>
    <w:uiPriority w:val="0"/>
    <w:rPr>
      <w:rFonts w:hint="default" w:ascii="Times New Roman" w:hAnsi="Times New Roman" w:cs="Times New Roman"/>
      <w:color w:val="000000"/>
      <w:sz w:val="24"/>
      <w:szCs w:val="24"/>
      <w:u w:val="none"/>
    </w:rPr>
  </w:style>
  <w:style w:type="character" w:customStyle="1" w:styleId="17">
    <w:name w:val="font101"/>
    <w:qFormat/>
    <w:uiPriority w:val="0"/>
    <w:rPr>
      <w:rFonts w:hint="default" w:ascii="Times New Roman" w:hAnsi="Times New Roman" w:cs="Times New Roman"/>
      <w:color w:val="000000"/>
      <w:sz w:val="22"/>
      <w:szCs w:val="22"/>
      <w:u w:val="none"/>
    </w:rPr>
  </w:style>
  <w:style w:type="character" w:customStyle="1" w:styleId="18">
    <w:name w:val="标题 1 字符"/>
    <w:basedOn w:val="9"/>
    <w:link w:val="3"/>
    <w:qFormat/>
    <w:uiPriority w:val="9"/>
    <w:rPr>
      <w:rFonts w:ascii="Arial" w:hAnsi="Arial" w:eastAsia="Arial" w:cs="Arial"/>
      <w:b/>
      <w:bCs/>
      <w:snapToGrid w:val="0"/>
      <w:color w:val="000000"/>
      <w:kern w:val="44"/>
      <w:sz w:val="44"/>
      <w:szCs w:val="44"/>
      <w:lang w:eastAsia="en-US"/>
    </w:rPr>
  </w:style>
  <w:style w:type="paragraph" w:customStyle="1" w:styleId="19">
    <w:name w:val="TOC Heading"/>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E75B6" w:themeColor="accent1" w:themeShade="BF"/>
      <w:kern w:val="0"/>
      <w:sz w:val="32"/>
      <w:szCs w:val="32"/>
      <w:lang w:eastAsia="zh-CN"/>
    </w:rPr>
  </w:style>
  <w:style w:type="character" w:customStyle="1" w:styleId="20">
    <w:name w:val="页眉 字符"/>
    <w:basedOn w:val="9"/>
    <w:link w:val="6"/>
    <w:qFormat/>
    <w:uiPriority w:val="99"/>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wp="http://schemas.openxmlformats.org/drawingml/2006/wordprocessingDrawing"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72C04A-330D-44F8-BB30-FF8B91AB4139}">
  <ds:schemaRefs/>
</ds:datastoreItem>
</file>

<file path=docProps/app.xml><?xml version="1.0" encoding="utf-8"?>
<Properties xmlns="http://schemas.openxmlformats.org/officeDocument/2006/extended-properties" xmlns:vt="http://schemas.openxmlformats.org/officeDocument/2006/docPropsVTypes">
  <Template>Normal.dotm</Template>
  <Pages>61</Pages>
  <Words>40</Words>
  <Characters>234</Characters>
  <Lines>1</Lines>
  <Paragraphs>1</Paragraphs>
  <TotalTime>0</TotalTime>
  <ScaleCrop>false</ScaleCrop>
  <LinksUpToDate>false</LinksUpToDate>
  <CharactersWithSpaces>273</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2024-07-15T12:59:00Z</dcterms:created>
  <dc:creator>liuhl</dc:creator>
  <cp:lastModifiedBy>MH</cp:lastModifiedBy>
  <dcterms:modified xsi:type="dcterms:W3CDTF">2026-07-31T03:31:18Z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5B41DF225918490481AE1259549B7C14_12</vt:lpwstr>
  </property>
</Properties>
</file>