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left"/>
        <w:rPr>
          <w:rFonts w:ascii="方正公文小标宋" w:eastAsia="方正公文小标宋"/>
          <w:b w:val="0"/>
          <w:sz w:val="84"/>
          <w:szCs w:val="84"/>
          <w:lang w:eastAsia="zh-CN"/>
        </w:rPr>
      </w:pPr>
    </w:p>
    <w:p>
      <w:pPr>
        <w:pStyle w:val="2"/>
        <w:jc w:val="left"/>
        <w:rPr>
          <w:rFonts w:ascii="方正公文小标宋" w:eastAsia="方正公文小标宋"/>
          <w:b w:val="0"/>
          <w:sz w:val="84"/>
          <w:szCs w:val="84"/>
          <w:lang w:eastAsia="zh-CN"/>
        </w:rPr>
      </w:pPr>
    </w:p>
    <w:p>
      <w:pPr>
        <w:adjustRightInd/>
        <w:snapToGrid/>
        <w:spacing w:before="0" w:beforeLines="0" w:after="0" w:afterLines="0"/>
        <w:jc w:val="center"/>
        <w:rPr>
          <w:rFonts w:hint="eastAsia" w:ascii="Times New Roman" w:hAnsi="方正公文小标宋" w:eastAsia="方正公文小标宋"/>
          <w:snapToGrid/>
          <w:kern w:val="0"/>
          <w:sz w:val="84"/>
          <w:szCs w:val="84"/>
        </w:rPr>
      </w:pPr>
      <w:r>
        <w:rPr>
          <w:rFonts w:hint="eastAsia" w:ascii="Times New Roman" w:hAnsi="方正公文小标宋" w:eastAsia="方正公文小标宋"/>
          <w:snapToGrid/>
          <w:kern w:val="0"/>
          <w:sz w:val="84"/>
          <w:szCs w:val="84"/>
        </w:rPr>
        <w:t>吉林省白山市长白朝鲜族自治县</w:t>
      </w:r>
    </w:p>
    <w:p>
      <w:pPr>
        <w:adjustRightInd/>
        <w:snapToGrid/>
        <w:spacing w:before="0" w:beforeLines="0" w:after="0" w:afterLines="0"/>
        <w:jc w:val="center"/>
        <w:rPr>
          <w:rFonts w:hint="eastAsia" w:ascii="Times New Roman" w:hAnsi="方正公文小标宋" w:eastAsia="方正公文小标宋"/>
          <w:snapToGrid/>
          <w:kern w:val="0"/>
          <w:sz w:val="84"/>
          <w:szCs w:val="84"/>
        </w:rPr>
      </w:pPr>
      <w:r>
        <w:rPr>
          <w:rFonts w:hint="eastAsia" w:ascii="Times New Roman" w:hAnsi="方正公文小标宋" w:eastAsia="方正公文小标宋"/>
          <w:snapToGrid/>
          <w:kern w:val="0"/>
          <w:sz w:val="84"/>
          <w:szCs w:val="84"/>
        </w:rPr>
        <w:t>十四道沟镇人民政府履行职责事</w:t>
      </w:r>
    </w:p>
    <w:p>
      <w:pPr>
        <w:adjustRightInd/>
        <w:snapToGrid/>
        <w:spacing w:before="0" w:beforeLines="0" w:after="0" w:afterLines="0"/>
        <w:jc w:val="center"/>
        <w:rPr>
          <w:rFonts w:hint="eastAsia" w:ascii="Times New Roman" w:hAnsi="方正公文小标宋" w:eastAsia="方正公文小标宋"/>
          <w:snapToGrid/>
          <w:kern w:val="0"/>
          <w:sz w:val="84"/>
          <w:szCs w:val="84"/>
        </w:rPr>
      </w:pPr>
      <w:r>
        <w:rPr>
          <w:rFonts w:hint="eastAsia" w:ascii="Times New Roman" w:hAnsi="方正公文小标宋" w:eastAsia="方正公文小标宋"/>
          <w:snapToGrid/>
          <w:kern w:val="0"/>
          <w:sz w:val="84"/>
          <w:szCs w:val="84"/>
        </w:rPr>
        <w:t>项清单</w:t>
      </w:r>
    </w:p>
    <w:p>
      <w:pPr>
        <w:rPr>
          <w:rFonts w:ascii="方正公文小标宋" w:eastAsia="方正公文小标宋"/>
          <w:sz w:val="84"/>
          <w:szCs w:val="84"/>
          <w:lang w:eastAsia="zh-CN"/>
        </w:rPr>
      </w:pPr>
    </w:p>
    <w:p>
      <w:pPr>
        <w:pStyle w:val="19"/>
        <w:jc w:val="center"/>
        <w:rPr>
          <w:rFonts w:ascii="Times New Roman" w:hAnsi="Times New Roman" w:eastAsia="Arial" w:cs="Times New Roman"/>
          <w:snapToGrid w:val="0"/>
          <w:color w:val="000000"/>
          <w:sz w:val="21"/>
          <w:szCs w:val="21"/>
          <w:lang w:val="zh-CN" w:eastAsia="en-US"/>
        </w:rPr>
        <w:sectPr>
          <w:footerReference r:id="rId3" w:type="default"/>
          <w:pgSz w:w="16837" w:h="11905" w:orient="landscape"/>
          <w:pgMar w:top="1418" w:right="1418" w:bottom="1418" w:left="1418" w:header="851" w:footer="907" w:gutter="0"/>
          <w:pgNumType w:fmt="decimal" w:start="1"/>
          <w:cols w:space="720" w:num="1"/>
          <w:docGrid w:linePitch="312" w:charSpace="0"/>
        </w:sectPr>
      </w:pPr>
    </w:p>
    <w:sdt>
      <w:sdtPr>
        <w:rPr>
          <w:rFonts w:ascii="Times New Roman" w:hAnsi="Times New Roman" w:eastAsia="Arial" w:cs="Times New Roman"/>
          <w:snapToGrid w:val="0"/>
          <w:color w:val="000000"/>
          <w:sz w:val="21"/>
          <w:szCs w:val="21"/>
          <w:lang w:val="zh-CN" w:eastAsia="en-US"/>
        </w:rPr>
        <w:id w:val="1172384030"/>
        <w:docPartObj>
          <w:docPartGallery w:val="Table of Contents"/>
          <w:docPartUnique/>
        </w:docPartObj>
      </w:sdtPr>
      <w:sdtEndPr>
        <w:rPr>
          <w:rFonts w:ascii="Times New Roman" w:hAnsi="Times New Roman" w:eastAsia="方正公文仿宋" w:cs="Times New Roman"/>
          <w:b/>
          <w:bCs/>
          <w:snapToGrid w:val="0"/>
          <w:color w:val="000000"/>
          <w:sz w:val="32"/>
          <w:szCs w:val="21"/>
          <w:lang w:val="zh-CN" w:eastAsia="en-US"/>
        </w:rPr>
      </w:sdtEndPr>
      <w:sdtContent>
        <w:p>
          <w:pPr>
            <w:pStyle w:val="19"/>
            <w:jc w:val="center"/>
            <w:rPr>
              <w:rFonts w:hint="eastAsia" w:ascii="Times New Roman" w:hAnsi="Times New Roman" w:eastAsia="方正公文小标宋" w:cs="Times New Roman"/>
              <w:color w:val="auto"/>
              <w:sz w:val="44"/>
              <w:szCs w:val="44"/>
              <w:lang w:val="zh-CN"/>
            </w:rPr>
          </w:pPr>
          <w:r>
            <w:rPr>
              <w:rFonts w:ascii="Times New Roman" w:hAnsi="Times New Roman" w:eastAsia="方正公文小标宋" w:cs="Times New Roman"/>
              <w:color w:val="auto"/>
              <w:sz w:val="44"/>
              <w:szCs w:val="44"/>
              <w:lang w:val="zh-CN"/>
            </w:rPr>
            <w:t>目</w:t>
          </w:r>
          <w:r>
            <w:rPr>
              <w:rFonts w:hint="eastAsia" w:ascii="Times New Roman" w:hAnsi="Times New Roman" w:eastAsia="方正公文小标宋" w:cs="Times New Roman"/>
              <w:color w:val="auto"/>
              <w:sz w:val="44"/>
              <w:szCs w:val="44"/>
              <w:lang w:val="zh-CN"/>
            </w:rPr>
            <w:t xml:space="preserve">  </w:t>
          </w:r>
          <w:r>
            <w:rPr>
              <w:rFonts w:ascii="Times New Roman" w:hAnsi="Times New Roman" w:eastAsia="方正公文小标宋" w:cs="Times New Roman"/>
              <w:color w:val="auto"/>
              <w:sz w:val="44"/>
              <w:szCs w:val="44"/>
              <w:lang w:val="zh-CN"/>
            </w:rPr>
            <w:t>录</w:t>
          </w:r>
        </w:p>
        <w:p>
          <w:pPr>
            <w:pStyle w:val="7"/>
            <w:tabs>
              <w:tab w:val="right" w:pos="13991"/>
            </w:tabs>
            <w:rPr>
              <w:rFonts w:cs="Times New Roman" w:eastAsiaTheme="minorEastAsia"/>
              <w:snapToGrid/>
              <w:color w:val="auto"/>
              <w:kern w:val="2"/>
              <w:sz w:val="21"/>
              <w:szCs w:val="22"/>
              <w:lang w:eastAsia="zh-CN"/>
            </w:rPr>
          </w:pPr>
          <w:r>
            <w:rPr>
              <w:rFonts w:cs="Times New Roman"/>
              <w:szCs w:val="32"/>
            </w:rPr>
            <w:fldChar w:fldCharType="begin"/>
          </w:r>
          <w:r>
            <w:rPr>
              <w:rFonts w:cs="Times New Roman"/>
              <w:szCs w:val="32"/>
            </w:rPr>
            <w:instrText xml:space="preserve"> TOC \o "1-3" \n \h \z \u </w:instrText>
          </w:r>
          <w:r>
            <w:rPr>
              <w:rFonts w:cs="Times New Roman"/>
              <w:szCs w:val="32"/>
            </w:rPr>
            <w:fldChar w:fldCharType="separate"/>
          </w:r>
          <w:r>
            <w:fldChar w:fldCharType="begin"/>
          </w:r>
          <w:r>
            <w:instrText xml:space="preserve"> HYPERLINK \l "_Toc172533652" </w:instrText>
          </w:r>
          <w:r>
            <w:fldChar w:fldCharType="separate"/>
          </w:r>
          <w:r>
            <w:rPr>
              <w:rStyle w:val="11"/>
              <w:rFonts w:eastAsia="方正公文小标宋" w:cs="Times New Roman"/>
              <w:lang w:eastAsia="zh-CN"/>
            </w:rPr>
            <w:t>基本</w:t>
          </w:r>
          <w:r>
            <w:rPr>
              <w:rFonts w:hint="eastAsia" w:eastAsia="方正公文小标宋" w:cs="Times New Roman"/>
              <w:b w:val="0"/>
              <w:bCs/>
              <w:lang w:eastAsia="zh-CN"/>
            </w:rPr>
            <w:t>履职事项</w:t>
          </w:r>
          <w:r>
            <w:rPr>
              <w:rStyle w:val="11"/>
              <w:rFonts w:eastAsia="方正公文小标宋" w:cs="Times New Roman"/>
              <w:lang w:eastAsia="zh-CN"/>
            </w:rPr>
            <w:t>清单</w:t>
          </w:r>
          <w:r>
            <w:rPr>
              <w:rStyle w:val="11"/>
              <w:rFonts w:eastAsia="方正公文小标宋" w:cs="Times New Roman"/>
              <w:lang w:eastAsia="zh-CN"/>
            </w:rPr>
            <w:fldChar w:fldCharType="end"/>
          </w:r>
        </w:p>
        <w:p>
          <w:pPr>
            <w:pStyle w:val="7"/>
            <w:tabs>
              <w:tab w:val="right" w:pos="13991"/>
            </w:tabs>
            <w:rPr>
              <w:rFonts w:cs="Times New Roman" w:eastAsiaTheme="minorEastAsia"/>
              <w:snapToGrid/>
              <w:color w:val="auto"/>
              <w:kern w:val="2"/>
              <w:sz w:val="21"/>
              <w:szCs w:val="22"/>
              <w:lang w:eastAsia="zh-CN"/>
            </w:rPr>
          </w:pPr>
          <w:r>
            <w:fldChar w:fldCharType="begin"/>
          </w:r>
          <w:r>
            <w:instrText xml:space="preserve"> HYPERLINK \l "_Toc172533653" </w:instrText>
          </w:r>
          <w:r>
            <w:fldChar w:fldCharType="separate"/>
          </w:r>
          <w:r>
            <w:rPr>
              <w:rStyle w:val="11"/>
              <w:rFonts w:eastAsia="方正公文小标宋" w:cs="Times New Roman"/>
              <w:lang w:eastAsia="zh-CN"/>
            </w:rPr>
            <w:t>配合</w:t>
          </w:r>
          <w:r>
            <w:rPr>
              <w:rFonts w:hint="eastAsia" w:eastAsia="方正公文小标宋" w:cs="Times New Roman"/>
              <w:b w:val="0"/>
              <w:bCs/>
              <w:lang w:eastAsia="zh-CN"/>
            </w:rPr>
            <w:t>履职事项</w:t>
          </w:r>
          <w:r>
            <w:rPr>
              <w:rStyle w:val="11"/>
              <w:rFonts w:eastAsia="方正公文小标宋" w:cs="Times New Roman"/>
              <w:lang w:eastAsia="zh-CN"/>
            </w:rPr>
            <w:t>清单</w:t>
          </w:r>
          <w:r>
            <w:rPr>
              <w:rStyle w:val="11"/>
              <w:rFonts w:eastAsia="方正公文小标宋" w:cs="Times New Roman"/>
              <w:lang w:eastAsia="zh-CN"/>
            </w:rPr>
            <w:fldChar w:fldCharType="end"/>
          </w:r>
        </w:p>
        <w:p>
          <w:pPr>
            <w:pStyle w:val="7"/>
            <w:rPr>
              <w:rFonts w:cs="Times New Roman"/>
              <w:b/>
              <w:bCs/>
              <w:lang w:val="zh-CN"/>
            </w:rPr>
          </w:pPr>
          <w:r>
            <w:fldChar w:fldCharType="begin"/>
          </w:r>
          <w:r>
            <w:instrText xml:space="preserve"> HYPERLINK \l "_Toc172533654" </w:instrText>
          </w:r>
          <w:r>
            <w:fldChar w:fldCharType="separate"/>
          </w:r>
          <w:r>
            <w:rPr>
              <w:rStyle w:val="11"/>
              <w:rFonts w:hint="eastAsia" w:eastAsia="方正公文小标宋" w:cs="Times New Roman"/>
              <w:lang w:eastAsia="zh-CN"/>
            </w:rPr>
            <w:t>上级部门收回事项清单</w:t>
          </w:r>
          <w:r>
            <w:rPr>
              <w:rStyle w:val="11"/>
              <w:rFonts w:hint="eastAsia" w:eastAsia="方正公文小标宋" w:cs="Times New Roman"/>
              <w:lang w:eastAsia="zh-CN"/>
            </w:rPr>
            <w:fldChar w:fldCharType="end"/>
          </w:r>
          <w:r>
            <w:rPr>
              <w:rFonts w:cs="Times New Roman"/>
              <w:szCs w:val="32"/>
            </w:rPr>
            <w:fldChar w:fldCharType="end"/>
          </w:r>
        </w:p>
      </w:sdtContent>
    </w:sdt>
    <w:p>
      <w:pPr>
        <w:pStyle w:val="2"/>
        <w:jc w:val="both"/>
        <w:rPr>
          <w:rFonts w:ascii="Times New Roman" w:hAnsi="Times New Roman" w:eastAsia="方正小标宋_GBK" w:cs="Times New Roman"/>
          <w:color w:val="auto"/>
          <w:spacing w:val="7"/>
          <w:sz w:val="44"/>
          <w:szCs w:val="44"/>
          <w:lang w:eastAsia="zh-CN"/>
        </w:rPr>
      </w:pPr>
    </w:p>
    <w:p>
      <w:pPr>
        <w:jc w:val="center"/>
        <w:rPr>
          <w:rFonts w:hint="eastAsia" w:eastAsiaTheme="minorEastAsia"/>
          <w:lang w:eastAsia="zh-CN"/>
        </w:rPr>
        <w:sectPr>
          <w:footerReference r:id="rId4" w:type="default"/>
          <w:pgSz w:w="16837" w:h="11905" w:orient="landscape"/>
          <w:pgMar w:top="1418" w:right="1418" w:bottom="1418" w:left="1418" w:header="851" w:footer="907" w:gutter="0"/>
          <w:pgNumType w:fmt="decimal" w:start="1"/>
          <w:cols w:space="720" w:num="1"/>
          <w:docGrid w:linePitch="312" w:charSpace="0"/>
        </w:sectPr>
      </w:pPr>
      <w:r>
        <w:rPr>
          <w:rStyle w:val="11"/>
          <w:rFonts w:hint="default" w:ascii="Times New Roman" w:hAnsi="Times New Roman" w:eastAsia="方正公文小标宋" w:cs="Times New Roman"/>
          <w:color w:val="auto"/>
          <w:sz w:val="32"/>
          <w:u w:val="none"/>
          <w:lang w:val="en-US" w:eastAsia="zh-CN"/>
        </w:rPr>
        <w:t xml:space="preserve"> </w:t>
      </w:r>
    </w:p>
    <w:p>
      <w:pPr>
        <w:pStyle w:val="3"/>
        <w:spacing w:before="0" w:after="0" w:line="240" w:lineRule="auto"/>
        <w:jc w:val="center"/>
        <w:rPr>
          <w:rFonts w:ascii="Times New Roman" w:hAnsi="Times New Roman" w:eastAsia="方正公文小标宋" w:cs="Times New Roman"/>
          <w:b w:val="0"/>
          <w:color w:val="auto"/>
          <w:spacing w:val="7"/>
          <w:lang w:eastAsia="zh-CN"/>
        </w:rPr>
      </w:pPr>
      <w:bookmarkStart w:id="0" w:name="_Toc172077416"/>
      <w:bookmarkStart w:id="1" w:name="_Toc172077949"/>
      <w:bookmarkStart w:id="2" w:name="_Toc172533652"/>
      <w:bookmarkStart w:id="3" w:name="_Toc172077551"/>
      <w:r>
        <w:rPr>
          <w:rFonts w:ascii="Times New Roman" w:hAnsi="Times New Roman" w:eastAsia="方正公文小标宋" w:cs="Times New Roman"/>
          <w:b w:val="0"/>
          <w:lang w:eastAsia="zh-CN"/>
        </w:rPr>
        <w:t>基本</w:t>
      </w:r>
      <w:r>
        <w:rPr>
          <w:rFonts w:hint="eastAsia" w:ascii="Times New Roman" w:hAnsi="Times New Roman" w:eastAsia="方正公文小标宋" w:cs="Times New Roman"/>
          <w:b w:val="0"/>
          <w:lang w:eastAsia="zh-CN"/>
        </w:rPr>
        <w:t>履职事项</w:t>
      </w:r>
      <w:r>
        <w:rPr>
          <w:rFonts w:ascii="Times New Roman" w:hAnsi="Times New Roman" w:eastAsia="方正公文小标宋" w:cs="Times New Roman"/>
          <w:b w:val="0"/>
          <w:lang w:eastAsia="zh-CN"/>
        </w:rPr>
        <w:t>清单</w:t>
      </w:r>
      <w:bookmarkEnd w:id="0"/>
      <w:bookmarkEnd w:id="1"/>
      <w:bookmarkEnd w:id="2"/>
      <w:bookmarkEnd w:id="3"/>
    </w:p>
    <w:tbl>
      <w:tblPr>
        <w:tblStyle w:val="8"/>
        <w:tblW w:w="14045" w:type="dxa"/>
        <w:tblInd w:w="96" w:type="dxa"/>
        <w:tblLayout w:type="autofit"/>
        <w:tblCellMar>
          <w:top w:w="0" w:type="dxa"/>
          <w:left w:w="108" w:type="dxa"/>
          <w:bottom w:w="0" w:type="dxa"/>
          <w:right w:w="108" w:type="dxa"/>
        </w:tblCellMar>
      </w:tblPr>
      <w:tblGrid>
        <w:gridCol w:w="712"/>
        <w:gridCol w:w="13333"/>
      </w:tblGrid>
      <w:tr>
        <w:tblPrEx>
          <w:tblCellMar>
            <w:top w:w="0" w:type="dxa"/>
            <w:left w:w="108" w:type="dxa"/>
            <w:bottom w:w="0" w:type="dxa"/>
            <w:right w:w="108" w:type="dxa"/>
          </w:tblCellMar>
        </w:tblPrEx>
        <w:trPr>
          <w:cantSplit/>
          <w:trHeight w:val="658" w:hRule="atLeast"/>
          <w:tblHeader/>
        </w:trPr>
        <w:tc>
          <w:tcPr>
            <w:tcW w:w="71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Times New Roman" w:hAnsi="Times New Roman" w:eastAsia="方正公文黑体"/>
              </w:rPr>
            </w:pPr>
            <w:r>
              <w:rPr>
                <w:rFonts w:ascii="Times New Roman" w:hAnsi="Times New Roman" w:eastAsia="方正公文黑体"/>
                <w:lang w:bidi="ar"/>
              </w:rPr>
              <w:t>序号</w:t>
            </w:r>
          </w:p>
        </w:tc>
        <w:tc>
          <w:tcPr>
            <w:tcW w:w="1333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Times New Roman" w:hAnsi="Times New Roman" w:eastAsia="方正公文黑体"/>
                <w:lang w:eastAsia="zh-CN"/>
              </w:rPr>
            </w:pPr>
            <w:r>
              <w:rPr>
                <w:rFonts w:hint="eastAsia" w:ascii="Times New Roman" w:hAnsi="Times New Roman" w:eastAsia="方正公文黑体"/>
                <w:lang w:eastAsia="zh-CN" w:bidi="ar"/>
              </w:rPr>
              <w:t>事项</w:t>
            </w:r>
            <w:r>
              <w:rPr>
                <w:rFonts w:ascii="Times New Roman" w:hAnsi="Times New Roman" w:eastAsia="方正公文黑体"/>
                <w:lang w:eastAsia="zh-CN" w:bidi="ar"/>
              </w:rPr>
              <w:t>名称</w:t>
            </w:r>
          </w:p>
        </w:tc>
      </w:tr>
      <w:tr>
        <w:tblPrEx>
          <w:tblCellMar>
            <w:top w:w="0" w:type="dxa"/>
            <w:left w:w="108" w:type="dxa"/>
            <w:bottom w:w="0" w:type="dxa"/>
            <w:right w:w="108" w:type="dxa"/>
          </w:tblCellMar>
        </w:tblPrEx>
        <w:trPr>
          <w:cantSplit/>
          <w:trHeight w:val="480" w:hRule="atLeast"/>
        </w:trPr>
        <w:tc>
          <w:tcPr>
            <w:tcW w:w="13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一、党的建设（24项）</w:t>
            </w:r>
          </w:p>
        </w:tc>
      </w:tr>
      <w:tr>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学习贯彻落实习近平新时代中国特色社会主义思想和习近平总书记对吉林工作的重要讲话重要指示精神，落实“第一议题”制度，宣传和执行党的路线方针政策，执行上级党组织及本级党组织的决策部署，按照党中央部署开展党内集中教育，加强政治建设，坚定拥护“两个确立”，坚决做到“两个维护”。</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加强党委自身建设，履行全面从严治党主体责任，落实民主集中制、理论学习中心组学习、民主生活会、谈心谈话、党务公开、重大事项请示报告等制度，落实高质量发展政绩考核、巡视巡察反馈问题整改工作要求，落实领导干部联系点制度，加强调查研究和联系服务群众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推进党的基层党组织规范化建设，严格执行党的组织生活制度负责所辖基层党组织成立、撤销、调整、换届、人员备案管理，整顿软弱涣散党支部，打造特色党建品牌，管理党建经费、服务群众专项经费。</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落实党代会年会制和党代表任期制，负责召开党代会年会，推荐选举党代表人选，加强党代表联络服务，办理党代表意见建议。</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加强党员队伍建设，负责发展党员和党员教育、管理、服务，党员组织关系转接与信息维护，承担关怀帮扶生活困难党员和老党员，党费的核算、收缴、使用和管理，不合格党员处置等工作。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加强基层干部队伍建设，按照干部管理权限，负责镇级干部的教育、培养、选拔、考核、考察和监督管理，培育基层干部后备力量，考核、教育、管理村干部及驻村工作队。</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坚持党管人才原则，宣传解读人才政策，常态化开展引进人才工作，建立人才信息库，推荐、培养、使用各领域优秀人才，加强人才沟通联系。</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强化党组织阵地建设，落实党群服务中心（站）、基层党员教育阵地建设，指导农村、社区、“两企三新”等党组织规范开展工作，实施村部升级改造。</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9</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负责离退休干部服务保障工作，承担维护离退休人员信息、巡访关爱、教育交流等工作。</w:t>
            </w:r>
          </w:p>
        </w:tc>
      </w:tr>
      <w:tr>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10</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落实党风廉政建设责任制，加强作风建设，开展廉政、廉洁、反腐败斗争和警示教育工作。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11</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落实全面从严治党监督责任，强化监督执纪问责，推动乡镇、村（居）两级监督体系建设，落实中央八项规定精神，推进集中整治工作，依法依纪办理纪检监察案件，监督巡视巡察反馈问题整改落实情况。</w:t>
            </w:r>
          </w:p>
        </w:tc>
      </w:tr>
      <w:tr>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12</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开展宣传思想文化工作，建设管理宣传、文化阵地，负责新闻信息宣传、联络沟通媒体、报刊杂志征订、新媒体工作号管理等工作，组织开展爱国主义教育活动。</w:t>
            </w:r>
          </w:p>
        </w:tc>
      </w:tr>
      <w:tr>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13</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培育和践行社会主义核心价值观，开展精神文明创建系列活动，开展典型人物的挖掘和培育工作，加强新时代文明实践所（站）建设和管理。</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14</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落实统战工作责任制，学习宣传统战政策，加强统一战线工作对象的沟通、联系、管理和帮扶工作，开展统一战线相关活动。</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15</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铸牢中华民族共同体意识，统计少数民族人员信息，宣传民族宗教政策，开展民族团结进步宣传月活动，实行宗教工作网格化管理，宣传推广普通话及国家通用语言文字。</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16</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落实人民代表大会制度，组织人大换届、选举人大代表，组织人大代表参会，联系人大代表履职，建设人大代表家（站），征集、办理人大代表议案建议等工作。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17</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落实政治协商制度，推荐上级政协委员，组织政协委员与基层群众联络，联系政协委员在辖区内开展履职活动，办理、答复政协提案建议。</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18</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推动辖区工会组织建设、换届工作，做好职工帮扶维权工作，开展工会系列活动，开展职工关爱服务，收缴、使用工会经费。</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19</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推进辖区共青团组织、阵地建设、换届工作，开展团员、团费管理工作，开展青少年宣讲实践活动等工作。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20</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推进辖区妇联组织建设、换届工作，维护妇女儿童合法权益，组织妇联开展各类活动，加强妇女儿童阵地、家庭家教家风建设。</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21</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负责辖区残联组织建设，组织换届工作，开展残疾人政策普及、文体活动工作。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22</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统筹辖区“五老”工作，收集域内“五老”人员信息，组织“五老”人员开展关心下一代工作。</w:t>
            </w:r>
          </w:p>
        </w:tc>
      </w:tr>
      <w:tr>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23</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落实党建引领基层治理工作要求，负责推进“书记一号工程”项目建设，组建志愿服务队伍、开展志愿服务活动，管理培训社区工作者队伍等工作。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24</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加强村（居）民委员会、村（居）务监督委员会组织建设，承担组织村（社区）换届、补选，落实“四议两公开”制度，指导村（社区）开展自治工作、落实“一约四会”章程。</w:t>
            </w:r>
          </w:p>
        </w:tc>
      </w:tr>
      <w:tr>
        <w:tblPrEx>
          <w:tblCellMar>
            <w:top w:w="0" w:type="dxa"/>
            <w:left w:w="108" w:type="dxa"/>
            <w:bottom w:w="0" w:type="dxa"/>
            <w:right w:w="108" w:type="dxa"/>
          </w:tblCellMar>
        </w:tblPrEx>
        <w:trPr>
          <w:cantSplit/>
          <w:trHeight w:val="480" w:hRule="atLeast"/>
        </w:trPr>
        <w:tc>
          <w:tcPr>
            <w:tcW w:w="13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二、经济发展（9项）</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25</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负责推动镇域经济高质量发展工作，编制、实施经济发展规划，统计经济和社会企业情况等工作。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26</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负责优化营商环境，宣传优化营商环境政策，承担推进信用体系建设、动员规模以上企业入规、宣传惠企政策，开展深化助企服务、解决企业困难等工作。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27</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负责招商引资工作，承担制定招商引资计划、宣传招商政策，谋划、对接、签约招商引资项目等工作。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28</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负责政府投资项目的谋划、实施与监管，项目后续维护、运营及保障等工作。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29</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负责普查工作，实施经济、人口、农业普查工作。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30</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负责统计工作队伍建设，加强统计监督职责，承担统计法律法规宣传及培训，开展涉农统计和抽样调查等工作，利用统计数据指导产业发展。</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31</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促进村民、村集体增收，管理村级集体经济，建设党组织引领联合社、指导成立、管理村级党支部领办合作社，日常管理新型经营主体情况。</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32</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负责农村集体“三资”监管工作，提供财务委托代理服务，推进农村集体资金、资产、资源规范化运行，监管村级集体经济收益分配、村级经费运转、驻村第一书记经费等工作。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33</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负责农村电商发展培育工作，建立电商服务中心、村级电商服务站，培育本地电商主体等工作。</w:t>
            </w:r>
          </w:p>
        </w:tc>
      </w:tr>
      <w:tr>
        <w:tblPrEx>
          <w:tblCellMar>
            <w:top w:w="0" w:type="dxa"/>
            <w:left w:w="108" w:type="dxa"/>
            <w:bottom w:w="0" w:type="dxa"/>
            <w:right w:w="108" w:type="dxa"/>
          </w:tblCellMar>
        </w:tblPrEx>
        <w:trPr>
          <w:cantSplit/>
          <w:trHeight w:val="480" w:hRule="atLeast"/>
        </w:trPr>
        <w:tc>
          <w:tcPr>
            <w:tcW w:w="13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三、民生服务（13项）</w:t>
            </w:r>
          </w:p>
        </w:tc>
      </w:tr>
      <w:tr>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34</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便民服务中心（站）标准化建设工作，开展政务服务培训、监管工作人员纪律，深化“最多跑一次”改革、提供“一站式办结”服务，制定并公开政务服务管理制度及指南、规范办件流程，完善领办代办服务。</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35</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辖区就业服务工作，宣传就业创业政策，通过入户走访，建立就业困难人员台账，引导就业困难人员申请创业就业补贴，组织就业困难人员参加就业创业技能培训，做好辖区内就业供需对接相关工作，为就业困难人员提供公益性岗位。</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36</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生活困难群体救助帮扶工作，摸排辖区内困难群众、人均收入低于当地最低生活保障标准的家庭，按规定给予最低生活保障，为因突发事件、意外伤害、重大疾病或其他特殊原因导致基本生活陷入困境对象提供临时救助，监测特困供养人群信息变化情况，经办特困供养业务，动态调整救助待遇。</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37</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特殊困难群体帮扶救助工作，摸排辖区精神障碍患者家庭生产生活情况，为生活困难的精神障碍患者家庭提供帮助，建立独居、空巢、失能、重残等特殊家庭老年人台账，提供探访关爱和帮扶服务，日常管理老年食堂、养老机构，申报高龄老人补贴，摸排辖区孤儿、留守儿童、事实无人抚养的儿童情况，做好基本生活保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38</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做好残疾人服务和关心关爱，负责困难残疾人生活补贴、重度残疾人护理补贴的申请受理工作，提供残疾人康复就业、辅具申请更换服务，组织残疾人参加职业技能培训，做好公益助残等工作。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39</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负责办理基本养老保险相关业务工作，宣传城乡居民养老保险政策，更新城乡居民养老保险参保及死亡情况，基本养老保险资格认证、信息采集，城乡居民养老保险待遇申领、补缴、公示等工作。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40</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负责基本医疗保险经办管理工作，承担宣传医保政策、提供医疗保险参保、信息查询服务。</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41</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组织退役军人学习政治理论和党的路线方针政策，建设管理退役军人服务站，退役军人心理疏导教育，组织退役军人参加培训，开展双拥活动，发放光荣牌、送立功喜报等工作。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42</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负责退役军人及其他优抚对象服务保障工作，承担动态管理退役军人建档立卡信息，强化退役军人优抚对象服务保障，初审上报困难退役军人及农村籍退役士兵老年补助申请。</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43</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宣传计划生育政策，承担采集更新计划生育数据、依规办理独生子女证、生育证等工作，管理家庭健康指导员队伍，申报计划生育家庭补贴奖励，计划生育特殊家庭工作。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44</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宣传爱国卫生知识，开展爱国卫生、公共卫生工作，宣传控烟知识、创建无烟场所，组织村（社区）实施春秋季灭鼠等相关工作。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45</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负责落实红十字会相关工作，承担红十字日、爱心捐赠宣传，组织献血献爱心活动。</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46</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监督管理物业服务，宣传普及物业法规政策，指导业主委员会和物业管理委员会的成立、换届工作，管理无物业小区和老旧住宅小区物业。</w:t>
            </w:r>
          </w:p>
        </w:tc>
      </w:tr>
      <w:tr>
        <w:tblPrEx>
          <w:tblCellMar>
            <w:top w:w="0" w:type="dxa"/>
            <w:left w:w="108" w:type="dxa"/>
            <w:bottom w:w="0" w:type="dxa"/>
            <w:right w:w="108" w:type="dxa"/>
          </w:tblCellMar>
        </w:tblPrEx>
        <w:trPr>
          <w:cantSplit/>
          <w:trHeight w:val="480" w:hRule="atLeast"/>
        </w:trPr>
        <w:tc>
          <w:tcPr>
            <w:tcW w:w="13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四、平安法治（5项）</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47</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宣传法治政府政策，开展普法宣传，推进法治政府建设、建设乡镇法治文化阵地、人民陪审员队伍，建设公共法律服务平台等工作。</w:t>
            </w:r>
          </w:p>
        </w:tc>
      </w:tr>
      <w:tr>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48</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贯彻落实总体国家安全观政策，组织开展国家安全法律法规宣传和国防教育活动，组织摸排国家安全隐患，落实反暴恐相关工作。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49</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负责宣传防范诈骗常识、开展教育讲学、承担落实防诈预警、排查上报线索等相关工作。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50</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建立健全信访工作机制，宣传信访法律法规，排查涉访矛盾，受理群众来信、来电、网上等信访事项，接待群众来访，承办上级党委政府直接交办的信访事项，督促、审核信访事项的办理回复。</w:t>
            </w:r>
          </w:p>
        </w:tc>
      </w:tr>
      <w:tr>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51</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落实兴边富民稳边固边责任，聚集边境村人气，提高边境村民生保障，做好稳边固边人员队伍管理。</w:t>
            </w:r>
          </w:p>
        </w:tc>
      </w:tr>
      <w:tr>
        <w:tblPrEx>
          <w:tblCellMar>
            <w:top w:w="0" w:type="dxa"/>
            <w:left w:w="108" w:type="dxa"/>
            <w:bottom w:w="0" w:type="dxa"/>
            <w:right w:w="108" w:type="dxa"/>
          </w:tblCellMar>
        </w:tblPrEx>
        <w:trPr>
          <w:cantSplit/>
          <w:trHeight w:val="480" w:hRule="atLeast"/>
        </w:trPr>
        <w:tc>
          <w:tcPr>
            <w:tcW w:w="13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五、乡村振兴（13项）</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52</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负责落实巩固拓展脱贫攻坚成果同乡村振兴有效衔接主体责任和监管责任，承担经常性走访，开展业务培训及考核、整改省级反馈问题等工作。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53</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宣传脱贫户纳入监测对象政策，通过网格员排查、群众申报、部门筛查等预警方式，及时发现因病、因灾、突发事故、经营亏损等导致家庭收入严重下降生活困难的农户，纳入监测对象。</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54</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对脱贫人口及监测对象开展帮扶救助，综合运用临时救助、低保、医疗、社保、住房、饮水、教育等帮扶政策，保障基本生活。</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55</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帮助指导脱贫人口及监测对象就业创业，制定“一户一策”帮扶措施，利用光伏项目收益开发公益性岗位，落实产业、金融、消费、科技等帮扶政策，稳定脱贫人口及监测对象收入。</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56</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落实粮食安全责任制，负责宣传粮食安全、黑土地保护政策，承担提供相关技术指导、组织开展巡田、遏制耕地“非农化”、管理耕地“非粮化”等相关工作。</w:t>
            </w:r>
          </w:p>
        </w:tc>
      </w:tr>
      <w:tr>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57</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宣传高标准农田保护政策，推进高标准农田建设，管护高标准农田，摸排农田沟渠情况等工作。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58</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负责农业种植技术推广、农民技能培训，开展农业科技示范主体、农作物病虫害防治、化肥减量增效等工作。</w:t>
            </w:r>
          </w:p>
        </w:tc>
      </w:tr>
      <w:tr>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59</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负责农机政策、知识推广，开展农机数据统计，引进、推广农业机械新机具等工作。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60</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承担农村土地相关服务职责，宣传农村土地法律法规、政策，负责农村土地流转工作、农村土地承包工作等工作 。</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61</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负责宣传农产品质量安全知识，农产品质量管理，监管村级农产品质量安全协管员，统计农业种植及农资回收情况等工作。</w:t>
            </w:r>
          </w:p>
        </w:tc>
      </w:tr>
      <w:tr>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62</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负责农村饮水供水安全服务工作，承担政策宣传、水源地维护、水井房监管、水管员日常管理、农村饮水安全保障等工作。</w:t>
            </w:r>
          </w:p>
        </w:tc>
      </w:tr>
      <w:tr>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63</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开展畜禽养殖抽样、存出栏、畜禽“四类场所”检查工作、病死及死亡畜禽处理等工作。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64</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承担畜牧业法律法规政策宣传教育、畜禽防疫，提供畜禽养殖技术、优良品种指导等工作。</w:t>
            </w:r>
          </w:p>
        </w:tc>
      </w:tr>
      <w:tr>
        <w:tblPrEx>
          <w:tblCellMar>
            <w:top w:w="0" w:type="dxa"/>
            <w:left w:w="108" w:type="dxa"/>
            <w:bottom w:w="0" w:type="dxa"/>
            <w:right w:w="108" w:type="dxa"/>
          </w:tblCellMar>
        </w:tblPrEx>
        <w:trPr>
          <w:cantSplit/>
          <w:trHeight w:val="480" w:hRule="atLeast"/>
        </w:trPr>
        <w:tc>
          <w:tcPr>
            <w:tcW w:w="13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六、生态环保（6项）</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65</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践行“绿水青山就是金山银山”理念，承担宣传法律法规政策，开展生态环境保护日常巡查、核查线索、整改督察反馈问题等工作。</w:t>
            </w:r>
          </w:p>
        </w:tc>
      </w:tr>
      <w:tr>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66</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落实林长制工作，负责宣传林业保护法律法规政策，组建、管理森林管护员，组织开展巡林、植树造林等工作，处理林地纠纷。</w:t>
            </w:r>
          </w:p>
        </w:tc>
      </w:tr>
      <w:tr>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67</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落实河长制工作，负责宣传河湖保护政策，聘用、管理河道保洁员，组织开展巡河等工作。</w:t>
            </w:r>
          </w:p>
        </w:tc>
      </w:tr>
      <w:tr>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68</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负责整治农村人居环境相关工作，承担政策宣传、整理统计数据，开展村庄清洁、乡村绿化等工作。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69</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负责宣传秸秆禁烧政策知识，开展秸秆离田工作，规范处置秸秆残茬，承担秸秆禁烧区域监管、发放年度秸秆禁烧奖补资金等工作。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70</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承担水资源保护相关工作，负责宣传水资源保护政策，开展水源地保护，排查水土保持情况及水域安全隐患。</w:t>
            </w:r>
          </w:p>
        </w:tc>
      </w:tr>
      <w:tr>
        <w:tblPrEx>
          <w:tblCellMar>
            <w:top w:w="0" w:type="dxa"/>
            <w:left w:w="108" w:type="dxa"/>
            <w:bottom w:w="0" w:type="dxa"/>
            <w:right w:w="108" w:type="dxa"/>
          </w:tblCellMar>
        </w:tblPrEx>
        <w:trPr>
          <w:cantSplit/>
          <w:trHeight w:val="480" w:hRule="atLeast"/>
        </w:trPr>
        <w:tc>
          <w:tcPr>
            <w:tcW w:w="13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七、城乡建设（2项）</w:t>
            </w:r>
          </w:p>
        </w:tc>
      </w:tr>
      <w:tr>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71</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负责村庄建设，开展全国村镇建设系统填报工作，承担完善村庄地理位置、管护“四好农村路”、村庄公共设施和基础设施情况等工作。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72</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承担巡查房屋情况、审核验收农村宅基地建设情况等工作。</w:t>
            </w:r>
          </w:p>
        </w:tc>
      </w:tr>
      <w:tr>
        <w:tblPrEx>
          <w:tblCellMar>
            <w:top w:w="0" w:type="dxa"/>
            <w:left w:w="108" w:type="dxa"/>
            <w:bottom w:w="0" w:type="dxa"/>
            <w:right w:w="108" w:type="dxa"/>
          </w:tblCellMar>
        </w:tblPrEx>
        <w:trPr>
          <w:cantSplit/>
          <w:trHeight w:val="480" w:hRule="atLeast"/>
        </w:trPr>
        <w:tc>
          <w:tcPr>
            <w:tcW w:w="13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八、文化和旅游（4项）</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73</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制定文化工作计划，组织开展基层公共文化、农民业余文化生活活动、科普活动、中华优秀传统文艺文化传承等群众性文化活动。</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74</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发掘乡村旅游资源，负责普查整理乡村旅游资源，培育本地特色文化旅游资源，谋划申请乡村旅游项目等工作。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75</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负责全民健身推广工作，开展健康知识普及、体育活动，维护管理文体设施、场所等工作。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76</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负责推进域内特色旅游项目发展，宣传、推介域内特色文化、旅游、民宿资源，开展特色旅游活动，日常检查域内展馆和基础设施。</w:t>
            </w:r>
          </w:p>
        </w:tc>
      </w:tr>
      <w:tr>
        <w:tblPrEx>
          <w:tblCellMar>
            <w:top w:w="0" w:type="dxa"/>
            <w:left w:w="108" w:type="dxa"/>
            <w:bottom w:w="0" w:type="dxa"/>
            <w:right w:w="108" w:type="dxa"/>
          </w:tblCellMar>
        </w:tblPrEx>
        <w:trPr>
          <w:cantSplit/>
          <w:trHeight w:val="480" w:hRule="atLeast"/>
        </w:trPr>
        <w:tc>
          <w:tcPr>
            <w:tcW w:w="139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九、综合政务（12项）</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77</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负责政务公开专区建设工作，公开、解读、修正政务信息，梳理及更新村（居）务公开目录，培训使用政务外网，组织开展政府开放日活动，日常管理、维护综合政务外网等工作。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78</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负责“12345”热线、网站留言、领导信箱转办工作，承担群众诉求事项接收及退回、反馈及回访工作。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79</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负责乡镇机关事务工作，承担公文处理、印章管理、节假日值班，会务保障等日常工作。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80</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开展“国际档案日”宣传活动，加强档案管理基础设施建设，档案管理、归档，收集上报地方志、大事记、年鉴资料，指导村（社区）开展档案管理工作等工作。</w:t>
            </w:r>
          </w:p>
        </w:tc>
      </w:tr>
      <w:tr>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81</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负责年度财政预决算编制、执行工作，承担财政资产、信息管理及财政资金管理、内控制度建立等工作。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82</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负责人事劳资管理相关工作，承担核算、调整在职人员工资，申报、调整及发放福利待遇，收缴个人所得税等工作。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83</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负责乡镇机关节能减排相关工作，承担管理办公用房、公车等固定资产工作，保障机关日常办公需求。</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84</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承担变更统一社会信用代码证书、维护事业单位法人信息等工作。</w:t>
            </w:r>
          </w:p>
        </w:tc>
      </w:tr>
      <w:tr>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85</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负责乡镇人事编制工作，承担申请编制岗位需求、办理编制落实手续，事业人员岗位聘用调整、档案管理等人事相关工作。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86</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管理公益性岗位等编外人员，承担岗位人员补贴代发、保险代缴等相关工作。</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87</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落实保密工作责任制，宣传保密法律法规，负责制定保密制度，日常保密管理、教育、自查自评等工作，管理涉密设备、人员、文件等。</w:t>
            </w:r>
          </w:p>
        </w:tc>
      </w:tr>
      <w:tr>
        <w:tblPrEx>
          <w:tblCellMar>
            <w:top w:w="0" w:type="dxa"/>
            <w:left w:w="108" w:type="dxa"/>
            <w:bottom w:w="0" w:type="dxa"/>
            <w:right w:w="108" w:type="dxa"/>
          </w:tblCellMar>
        </w:tblPrEx>
        <w:trPr>
          <w:cantSplit/>
          <w:trHeight w:val="760" w:hRule="atLeast"/>
        </w:trPr>
        <w:tc>
          <w:tcPr>
            <w:tcW w:w="7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88</w:t>
            </w:r>
          </w:p>
        </w:tc>
        <w:tc>
          <w:tcPr>
            <w:tcW w:w="1323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负责乡镇综合行政执法相关工作，组建执法队伍，承担业务能力培训、管理网络经营场所、联合执法等工作。</w:t>
            </w:r>
          </w:p>
        </w:tc>
      </w:tr>
    </w:tbl>
    <w:p>
      <w:pPr>
        <w:pStyle w:val="3"/>
        <w:spacing w:before="0" w:after="0" w:line="240" w:lineRule="auto"/>
        <w:jc w:val="center"/>
        <w:rPr>
          <w:rFonts w:ascii="Times New Roman" w:hAnsi="Times New Roman" w:eastAsia="方正小标宋_GBK" w:cs="Times New Roman"/>
          <w:color w:val="auto"/>
          <w:lang w:eastAsia="zh-CN" w:bidi="ar"/>
        </w:rPr>
      </w:pPr>
      <w:r>
        <w:rPr>
          <w:rFonts w:ascii="Times New Roman" w:hAnsi="Times New Roman" w:eastAsia="方正小标宋_GBK" w:cs="Times New Roman"/>
          <w:color w:val="auto"/>
          <w:lang w:eastAsia="zh-CN" w:bidi="ar"/>
        </w:rPr>
        <w:br w:type="page"/>
      </w:r>
      <w:bookmarkStart w:id="4" w:name="_Toc172077552"/>
      <w:bookmarkStart w:id="5" w:name="_Toc172533653"/>
      <w:bookmarkStart w:id="6" w:name="_Toc172077417"/>
      <w:bookmarkStart w:id="7" w:name="_Toc172077950"/>
      <w:r>
        <w:rPr>
          <w:rFonts w:ascii="Times New Roman" w:hAnsi="Times New Roman" w:eastAsia="方正公文小标宋" w:cs="Times New Roman"/>
          <w:b w:val="0"/>
          <w:lang w:eastAsia="zh-CN"/>
        </w:rPr>
        <w:t>配合</w:t>
      </w:r>
      <w:r>
        <w:rPr>
          <w:rFonts w:hint="eastAsia" w:ascii="Times New Roman" w:hAnsi="Times New Roman" w:eastAsia="方正公文小标宋" w:cs="Times New Roman"/>
          <w:b w:val="0"/>
          <w:lang w:eastAsia="zh-CN"/>
        </w:rPr>
        <w:t>履职事项</w:t>
      </w:r>
      <w:r>
        <w:rPr>
          <w:rFonts w:ascii="Times New Roman" w:hAnsi="Times New Roman" w:eastAsia="方正公文小标宋" w:cs="Times New Roman"/>
          <w:b w:val="0"/>
          <w:lang w:eastAsia="zh-CN"/>
        </w:rPr>
        <w:t>清单</w:t>
      </w:r>
      <w:bookmarkEnd w:id="4"/>
      <w:bookmarkEnd w:id="5"/>
      <w:bookmarkEnd w:id="6"/>
      <w:bookmarkEnd w:id="7"/>
    </w:p>
    <w:tbl>
      <w:tblPr>
        <w:tblStyle w:val="8"/>
        <w:tblW w:w="14045" w:type="dxa"/>
        <w:tblInd w:w="0" w:type="dxa"/>
        <w:tblLayout w:type="autofit"/>
        <w:tblCellMar>
          <w:top w:w="0" w:type="dxa"/>
          <w:left w:w="108" w:type="dxa"/>
          <w:bottom w:w="0" w:type="dxa"/>
          <w:right w:w="108" w:type="dxa"/>
        </w:tblCellMar>
      </w:tblPr>
      <w:tblGrid>
        <w:gridCol w:w="727"/>
        <w:gridCol w:w="1814"/>
        <w:gridCol w:w="1814"/>
        <w:gridCol w:w="4842"/>
        <w:gridCol w:w="4848"/>
      </w:tblGrid>
      <w:tr>
        <w:tblPrEx>
          <w:tblCellMar>
            <w:top w:w="0" w:type="dxa"/>
            <w:left w:w="108" w:type="dxa"/>
            <w:bottom w:w="0" w:type="dxa"/>
            <w:right w:w="108" w:type="dxa"/>
          </w:tblCellMar>
        </w:tblPrEx>
        <w:trPr>
          <w:cantSplit/>
          <w:trHeight w:val="658" w:hRule="atLeast"/>
          <w:tblHeader/>
        </w:trPr>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Times New Roman" w:hAnsi="Times New Roman" w:eastAsia="方正公文黑体"/>
              </w:rPr>
            </w:pPr>
            <w:r>
              <w:rPr>
                <w:rFonts w:ascii="Times New Roman" w:hAnsi="Times New Roman" w:eastAsia="方正公文黑体"/>
                <w:color w:val="auto"/>
                <w:lang w:bidi="ar"/>
              </w:rPr>
              <w:t>序号</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Times New Roman" w:hAnsi="Times New Roman" w:eastAsia="方正公文黑体"/>
              </w:rPr>
            </w:pPr>
            <w:r>
              <w:rPr>
                <w:rFonts w:ascii="Times New Roman" w:hAnsi="Times New Roman" w:eastAsia="方正公文黑体"/>
                <w:color w:val="auto"/>
                <w:lang w:bidi="ar"/>
              </w:rPr>
              <w:t>事项名称</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Times New Roman" w:hAnsi="Times New Roman" w:eastAsia="方正公文黑体"/>
              </w:rPr>
            </w:pPr>
            <w:r>
              <w:rPr>
                <w:rFonts w:ascii="Times New Roman" w:hAnsi="Times New Roman" w:eastAsia="方正公文黑体"/>
                <w:color w:val="auto"/>
                <w:lang w:bidi="ar"/>
              </w:rPr>
              <w:t>对应上级部门</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Times New Roman" w:hAnsi="Times New Roman" w:eastAsia="方正公文黑体"/>
              </w:rPr>
            </w:pPr>
            <w:r>
              <w:rPr>
                <w:rFonts w:ascii="Times New Roman" w:hAnsi="Times New Roman" w:eastAsia="方正公文黑体"/>
                <w:color w:val="auto"/>
                <w:lang w:bidi="ar"/>
              </w:rPr>
              <w:t>上级部门职责</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Times New Roman" w:hAnsi="Times New Roman" w:eastAsia="方正公文黑体"/>
                <w:lang w:eastAsia="zh-CN"/>
              </w:rPr>
            </w:pPr>
            <w:r>
              <w:rPr>
                <w:rFonts w:hint="eastAsia" w:ascii="Times New Roman" w:hAnsi="Times New Roman" w:eastAsia="方正公文黑体"/>
                <w:color w:val="auto"/>
                <w:lang w:eastAsia="zh-CN" w:bidi="ar"/>
              </w:rPr>
              <w:t>镇</w:t>
            </w:r>
            <w:r>
              <w:rPr>
                <w:rFonts w:ascii="Times New Roman" w:hAnsi="Times New Roman" w:eastAsia="方正公文黑体"/>
                <w:color w:val="auto"/>
                <w:lang w:eastAsia="zh-CN" w:bidi="ar"/>
              </w:rPr>
              <w:t>配合职责</w:t>
            </w:r>
          </w:p>
        </w:tc>
      </w:tr>
      <w:tr>
        <w:tblPrEx>
          <w:tblCellMar>
            <w:top w:w="0" w:type="dxa"/>
            <w:left w:w="108" w:type="dxa"/>
            <w:bottom w:w="0" w:type="dxa"/>
            <w:right w:w="108" w:type="dxa"/>
          </w:tblCellMar>
        </w:tblPrEx>
        <w:trPr>
          <w:cantSplit/>
          <w:trHeight w:val="480" w:hRule="atLeast"/>
        </w:trPr>
        <w:tc>
          <w:tcPr>
            <w:tcW w:w="1393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一、经济发展（4项）</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审计监督村民委员会、农村集体经济组织接受、运用财政资金的真实、合法和效益情况</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县审计局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1.下发审计通知；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2.审计并下发审计报告。</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1.提供村民委员会、农村集体经济组织接受、运用财政资金的真实、合法和效益情况资料；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2.整改村民委员会、农村集体经济组织接受、运用财政资金的真实、合法和效益情况问题。</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农村“三资”领域审计</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1.下发审计通知；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2.审计并下发审计报告。</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1.提供农村“三资”领域审计材料；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2.整改农村“三资”领域审计问题。</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党政正职任期经济责任审计</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县审计局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1.下发审计通知；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2.审计并下发审计报告。</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1.提供党政正职任期经济责任审计材料；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2.整改党政正职任期经济责任审计问题。</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维护基本单位名录库信息</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县统计局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1.下发法人单位信息；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2.维护基本单位名录库信息。</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核实录入基本单位名录库信息。</w:t>
            </w:r>
          </w:p>
        </w:tc>
      </w:tr>
      <w:tr>
        <w:tblPrEx>
          <w:tblCellMar>
            <w:top w:w="0" w:type="dxa"/>
            <w:left w:w="108" w:type="dxa"/>
            <w:bottom w:w="0" w:type="dxa"/>
            <w:right w:w="108" w:type="dxa"/>
          </w:tblCellMar>
        </w:tblPrEx>
        <w:trPr>
          <w:cantSplit/>
          <w:trHeight w:val="480" w:hRule="atLeast"/>
        </w:trPr>
        <w:tc>
          <w:tcPr>
            <w:tcW w:w="1393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二、民生服务（22项）</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追缴违规领取的城乡最低生活保障金</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1.通过省信息核对平台，筛查出可能存在违规领取最低生活保障金人员信息并反馈给乡镇；</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2.对乡镇上报的拒不返还违规领取最低生活保障金的人员依法追缴冒领款物；</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3.账户确认是否返还完成；</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1.对反馈的可能存在违规领取最低生活保障金人员进行核实；                                                                           2.送达违规领取最低生活保障金人员的追缴通知单，并责令退回冒领款物；</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3.登记拒不返还违规领取最低生活保障金人员台账；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4.上报拒不返还违规领取最低生活保障金人员名单。</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安置流浪乞讨人员</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1.审核流浪乞讨人员信息；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2.组织安置生活无着落的流浪乞讨人员。</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1.排查上报生活无着落的流浪乞讨人员信息；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2.协助安置生活无着落的流浪乞讨人员。</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困难儿童基本生活补贴办理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1.审核困难儿童基本生活补贴材料；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2.拨付困难儿童基本生活补贴。</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1.初审困难儿童基本生活补贴申请材料；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2.申报困难儿童基本生活补贴材料。</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适老化设施改造</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1.受理适老化改造申请；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2.组织入户筛查；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3.确认适老化改造资格；</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4.组织第三方实施改造；</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5.组织验收改造项目。</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1.统计上报适老化设施改造需求；</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2.引导工作人员进行适老化改造入户筛查；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3.引导第三方入户实施适老化改造。</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9</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农村公益性墓地审核审批</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审批农村公益性墓地申请。</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1.指导村选定公益性墓地地址；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2.核实公益性墓地选址土地性质；</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3.审核农村公益性墓地。</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10</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殡葬相关政策宣传</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制作宣传内容，确定宣传方式。</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1.开展殡葬政策宣传；</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2.统计宣传数据。</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11</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整改殡葬服务行业问题</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1.制作下发殡葬相关政策宣传内容；</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2.通知乡镇殡葬政策宣传方式；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3.实地走访殡葬服务行业并督促整改问题。</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1.宣传殡葬管理法律法规；</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2.协助走访殡葬服务行业。</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12</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办理低保户基本殡葬服务费用减免</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1.审核材料并汇总乡镇上报名单；</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2.发放低保户基本殡葬服务费用减免资金。</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受理低保户基本殡葬服务费用减免申请。</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13</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办理节地生态安葬补贴</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1.审核材料并汇总乡镇上报名单；</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2.发放补贴。</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1.宣传节地生态安葬补贴政策；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2.受理节地生态惠民奖补申请。</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14</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更换残疾证</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县残疾人联合会</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审核残疾证到期换证人员信息，发放残疾证。</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统计上报残疾证到期换证人员信息。</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15</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残疾人子女或残疾学生助学金办理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县残疾人联合会</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1.审核残疾人子女或残疾学生助学金材料；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2.发放残疾人子女或残疾学生助学金。</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申报残疾人子女或残疾学生助学金材料。</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16</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贫困居家失能老人护理补贴办理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1.审核贫困居家失能老人护理补贴材料；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2.发放贫困居家失能老人护理补贴。</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登记上报贫困居家失能老人护理补贴材料。</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17</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走访慰问困难退役军人和其他优抚对象</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1.审核困难退役军人和其他优抚对象名单；</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2.走访慰问困难退役军人和其他优抚对象。</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1.上报困难退役军人和其他优抚对象名单；</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2.协助走访慰问困难退役军人和其他优抚对象。</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18</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追缴违规领取残疾人“两项补贴”</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1.确认违规领取残疾人“两项补贴”人员信息；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2.下发追缴通知单；</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3.对拒不返还违规领取残疾人“两项补贴”人员依法进行追缴。</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1.送达违规领取残疾人“两项补贴”追缴通知单；</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2.登记拒不返还违规领取残疾人“两项补贴”人员台账；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3.上报拒不返还违规领取残疾人“两项补贴”人员名单。</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19</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追缴违规领取的特困供养金</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1.通过省信息核对平台，筛查出可能存在违规领取特困供养金人员信息并反馈给乡镇；</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2.对乡镇上报的拒不返还违规领取特困供养金的人员依法追缴冒领款物；</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3.账户确认是否返还完成。</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1.对反馈的可能存在违规领取特困供养金人员进行核实；                                                                           2.送达违规领取特困供养金人员的追缴通知单，并责令退回冒领款物；</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3.登记拒不返还违规领取特困供养金人员台账；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4.上报拒不返还违规领取特困供养金人员名单。</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20</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退役军人法律援助</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联合司法局开展退役军人法律援助服务。</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1.收集上报退役军人法律援助帮扶需求信息；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2.协助开展退役军人法律援助服务。</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21</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退役军人优抚对象二次医疗救助</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1.审核退役军人优抚对象二次医疗救助申请材料；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2.发放救助金至退役军人优抚对象个人账户。</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1.宣传退役军人优抚对象二次医疗救助政策；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2.指导申请人填写退役军人优抚对象二次医疗救助材料；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3.初审退役军人优抚对象救助申请材料；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4.上报退役军人优抚对象救助申请材料。</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22</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退役军人优待证办理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1.审核、上报退役军人优待证申报材料；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2.分发优待证。</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1.受理退役军人优待证申请；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2.申报退役军人优待证材料；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3.发放退役军人优待证。</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23</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评估特困集中供养人员生活自理能力</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1.由县民政和退役军人事务局、乡镇、村民委员会等人员组成不少于3人评估小组或委托第三方进行评估；</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2.对入住敬老院特困供养人员生活自理能力测评。</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协助开展特困供养人员生活自理能力评估。</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24</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孤儿免费入学</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1.下达孤儿学校招生计划及政策；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2.审核孤儿助学入学申请材料；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3.签订孤儿助学四方协议。</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1.宣传孤儿学校招生计划及政策；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2.提供孤儿入学手续代办服务。</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25</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控辍保学</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县教育和体育局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1.结合日常工作开展走访，对发现的家庭经济困难、残疾人、外来务工人员、留守儿童等弱势家庭学生纳入控辍重点，帮助其解决生活上的困难及时劝返回校复学；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2.对重点人员和复学学生不定期入户回访，了解当前复学情况。</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1.宣传义务教育政策；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2.定期对各学校控辍保学工作进行检查；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3.采取措施防止适龄儿童辍学。</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26</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规范村级组织机制事务</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县委社会工作部</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1.协调相关部门指导督促清理村（社区）违规加挂牌子；</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2.明确村级组织工作事务、证明事项规范标准。</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1.清理村（社区）违规加挂牌子；</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2.指导村（社区）规范村级组织工作事务、证明事项。</w:t>
            </w:r>
          </w:p>
        </w:tc>
      </w:tr>
      <w:tr>
        <w:tblPrEx>
          <w:tblCellMar>
            <w:top w:w="0" w:type="dxa"/>
            <w:left w:w="108" w:type="dxa"/>
            <w:bottom w:w="0" w:type="dxa"/>
            <w:right w:w="108" w:type="dxa"/>
          </w:tblCellMar>
        </w:tblPrEx>
        <w:trPr>
          <w:cantSplit/>
          <w:trHeight w:val="480" w:hRule="atLeast"/>
        </w:trPr>
        <w:tc>
          <w:tcPr>
            <w:tcW w:w="1393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三、平安法治（2项）</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27</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“三官一律”进网格活动</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县委政法委
县司法局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1.组建“三官一律”人员队伍；</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2.协调“三官一律”人员开展法律咨询、矛盾纠纷化解。</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1.宣传“三官一律”政策；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2.公示“三官一律”人员信息。</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28</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社区矫正工作</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县委政法委
县司法局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1.审前调查对拟适用社区矫正的被告人、罪犯进行调查评估；</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2.登记社区矫正对象信息，告知前往报到；</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3.组织开展业务技能、管理教育培训；</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4.对心理障碍及未成年人提供心理疏导；</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5.对违反社区矫正规定的对象进行处置；</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6.审查到期社区矫正对象卷宗，开具解矫证明、解矫宣告书。</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1.入户走访社区矫正对象；</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2.接收法院判决书、监狱决定书；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3.接收社区矫正对象；</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4.建立社区矫正对象台账；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5.对生活困难矫正对象提供救助帮扶服务；</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6.开展社区矫正对象日常监督；</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7.上报违反社区矫正管理规定的对象名单；</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8.代发解矫证明、解矫宣告书。</w:t>
            </w:r>
          </w:p>
        </w:tc>
      </w:tr>
      <w:tr>
        <w:tblPrEx>
          <w:tblCellMar>
            <w:top w:w="0" w:type="dxa"/>
            <w:left w:w="108" w:type="dxa"/>
            <w:bottom w:w="0" w:type="dxa"/>
            <w:right w:w="108" w:type="dxa"/>
          </w:tblCellMar>
        </w:tblPrEx>
        <w:trPr>
          <w:cantSplit/>
          <w:trHeight w:val="480" w:hRule="atLeast"/>
        </w:trPr>
        <w:tc>
          <w:tcPr>
            <w:tcW w:w="1393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四、乡村振兴（29项）</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29</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耕地撂荒整治</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1.审核撂荒耕地排查数据、复耕复种补充材料；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2.对耕地撂荒情况进行整治。</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1.指导村级管理员统计撂荒耕地排查数据；</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2.指导各村收集复耕复种补充材料；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3.初审上报撂荒耕地排查数据、复耕复种补充材料。</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30</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“大棚房”问题整治</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
县自然资源和林业局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1.核实确定“大棚房”问题；</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2.整治“大棚房”问题；</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3.验收“大棚房”整治情况。</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1.排查上报“大棚房”问题台账；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2.协助整治“大棚房”问题。</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31</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“雨露计划”补助办理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1.核对“雨露计划”补助申请材料；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2.拨付“雨露计划”补助</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1.宣传“雨露计划”补助政策；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2.排查上报符合“雨露计划”补助政策的高职学生情况；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3.发放“雨露计划”补助。</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32</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光伏分红</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1.审核光伏收益分配方案；</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2.拨付光伏分红资金。</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1.制定上报光伏收益分配方案；</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2.发放光伏分红资金。</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33</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小额信贷贴息业务办理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1.审核信贷材料，确定信贷人员名单；</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2.下发政府贴息信息；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3.整理“红黄蓝”还款预警台账；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4.审核核销材料。</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1.宣传小额信贷政策；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2.指导符合条件的信贷人员授信；</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3.上报信贷人员授信材料；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4.指导信贷人员办理小额信贷；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5.公示小额信贷上级政府贴息情况；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6.提醒小额信贷人员还款；</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7.初审上报死亡人员核销材料。</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34</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科技特派员送“技”下乡</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选派科技特派员等专家，为种植大户、脱贫户、监测对象提供技术指导。</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引导科技特派员为种植大户、脱贫户、监测对象提供技术指导。</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35</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庭院经济产业项目奖励补贴办理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1.审核庭院经济奖励补贴材料；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2.拨付庭院经济产业项目奖励补贴。</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1.宣传庭院经济产业项目奖励政策；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2.受理庭院经济产业项目奖励补贴申请；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3.申报庭院经济产业项目奖励补贴材料；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4.发放庭院经济产业项目奖励补贴。</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36</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未享受低保脱贫人口医保补贴办理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1.审核未享受低保脱贫人口医保补贴材料；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2.拨付未享受低保脱贫人口医保补贴。</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1.申报未享受低保脱贫人口医保补贴；</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2.发放未享受低保脱贫人口医保补贴。</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37</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脱贫人口和监测对象外出务工交通补贴办理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1.审核脱贫人口和监测对象外出务工交通补贴材料；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2.拨付脱贫人口和监测对象外出务工交通补贴。</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1.宣传脱贫人口和监测对象外出务工交通补贴政策；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2.指导各村报送脱贫人口和监测对象外出务工交通补贴材料；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3.报送脱贫人口和监测对象外出务工交通补贴材料；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4.发放脱贫人口和监测对象外出务工交通补贴。</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38</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监测对象医疗救助资金办理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1.审核监测对象医疗救助材料；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2.拨付监测对象医疗救助金。</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1.受理监测对象医疗救助申请；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2.申报监测对象医疗救助材料；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3.发放监测对象医疗救助金。</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39</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加厚降解地膜补贴办理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1.审核加厚降解地膜补贴材料；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2.拨付加厚降解地膜补贴。</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1.宣传科学使用加厚降解地膜政策；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2.指导村民填写加厚降解地膜补贴申请；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3.申报加厚降解地膜补贴材料；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4.发放加厚降解地膜补贴。</w:t>
            </w:r>
          </w:p>
        </w:tc>
      </w:tr>
      <w:tr>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40</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实施“一喷多促”项目</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1.审核确定“一喷多促”面积；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2.聘请第三方无人机作业；</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3.验收“一喷多促”飞药情况。</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1.调查上报“一喷多促”实施面积；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2.监督“一喷多促”作业。</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41</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动物强制免疫</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县畜牧业管理中心</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1.检测强制免疫对象样本；</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2.发放动物疫苗。</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1.制定动物疫病防控采样计划；</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2.入户采集动物疫病样本；</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3.对采样结果不达标免疫对象注射疫苗；</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4.对未免疫动物强制注射疫苗。</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42</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种粮农民一次性补贴办理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1.审批种粮农民一次性补贴申请材料；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2.拨付种粮农民一次性补贴。</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1.宣传种粮农民一次性补贴政策；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2.受理种粮农民一次性补贴申请；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3.申报种粮农民一次性补贴；</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4.发放种粮农民一次性补贴。</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43</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玉米、大豆、稻谷生产者补贴办理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1.审批耕地地力保护补贴申请材料；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2.拨付玉米、大豆、稻谷生产者补贴。</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1.宣传玉米、大豆、稻谷生产者补贴政策；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2.受理玉米、大豆、稻谷生产者补贴申请；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3.申报玉米、大豆、稻谷生产者补贴；</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4.发放玉米、大豆、稻谷生产者补贴。</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44</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耕地地力保护补贴办理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1.审批耕地地力保护补贴申请材料；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2.拨付耕地地力保护补贴。</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1.宣传耕地地力保护补贴政策；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2.受理耕地地力保护补贴申请；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3.申报耕地地力保护补贴；</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4.发放耕地地力保护补贴。</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45</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生物有机肥补贴办理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1.审批生物有机肥补贴申请材料；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2.拨付生物有机肥补贴。</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1.宣传生物有机肥补贴政策；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2.受理生物有机肥补贴申请；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3.申报生物有机肥补贴；</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4.发放生物有机肥补贴。</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46</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“粮改饲”补贴办理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县畜牧业管理中心</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1.审批发放“粮改饲”补贴申请材料；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2.拨付“粮改饲”补贴。</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1.宣传“粮改饲”补贴政策；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2.受理“粮改饲”补贴申请；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3.申报“粮改饲”补贴；</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4.发放“粮改饲”补贴。</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47</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特色种植产业补贴办理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1.审批特色产业种植面积材料；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2.发放特色产业补贴。</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申报特色产业种植面积材料。</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48</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高油高产高蛋白大豆补贴办理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1.审批高油高产高蛋白大豆补贴申请材料；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2.拨付高油高产高蛋白大豆补贴。</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1.宣传高油高产高蛋白优质大豆补贴政策；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2.受理高油高产高蛋白优质大豆补贴申请；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3.申报高油高产高蛋白优质大豆补贴；</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4.发放高油高产高蛋白大豆补贴。</w:t>
            </w:r>
          </w:p>
        </w:tc>
      </w:tr>
      <w:tr>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49</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免费发放优质肉牛冻精</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县畜牧业管理中心</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1.审核繁改站（员）免费优质肉牛冻精使用的申请。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2.为符合条件的繁改站（员）发入免费优质肉牛冻精，提供给养殖户免费使用。</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1.宣传优质肉牛冻精免费发入使用政策；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2.受理繁改站（员）免费优质肉牛冻精使用的申请并提交畜牧总站审核；</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3.协助畜牧总站为符合条件的繁改站（员）发放免费优质肉牛冻精，提供给养殖户免费使用。</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50</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农产品质量安全监测</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组织监测取样，反馈监测情况。</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1.宣传农产品质量安全法律法规；</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2.协助农产品质量安全监测。</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51</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土壤抽样普查</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组织土壤抽样普查，评估确定耕地质量。</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1.排查上报土壤抽样采样点；</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2.引导部门到土壤采集点开展工作。</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52</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监测土壤墒情</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测定地块土壤墒情样本并反馈结果。</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1.制定土壤墒情地块踏查方案；</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2.踏查土壤墒情地块；</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3.采集上报土壤墒情样本；</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4.通知村民土壤墒情检测结果。</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53</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农业灾情应急处置</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
县气象局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1.负责统计、核实、汇总、上报乡镇的农业灾情数据；</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2.负责农业抗灾救灾恢复生产技术指导工作；</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县气象局：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负责开展农业灾情预警工作。</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1.宣传农业灾情预警信息；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2.统计上报农业灾情数据；</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3.协助农业灾后恢复生产技术指导；</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4.推广政策性农业保险。</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54</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处理农村饮水安全突发事件</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县水利局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指导、监督各乡镇对涉事地点抢修。</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1.摸排上报农村饮水安全突发事件情况；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2.协助处理农村饮水安全突发事件。</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55</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水利工程建设和水利设施维护</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县水利局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1.审批小型水利工程项目；</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2.核实、确认损坏问题；</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3.维修水利项目。</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1.申报小型水利工程项目；</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2.排查已建成水利工程超运行年限情况;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3.上报无法自行维修的水利项目。</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56</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农村户用卫生厕所改造</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1.汇总农村户用卫生厕所改造户名单；</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2.组织验收农村户用卫生厕所改造工程；</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3.拨付资金。</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1.宣传农村厕所改造政策；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2.统计上报农村户用卫生厕所改造户名单;</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3.聘请第三方对农村户用卫生厕所改造施工;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4.协助农村户用卫生厕所改造验收;</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5.申请农村户用卫生厕所改造资金;</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6.支付农村户用卫生厕所改造费用。</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57</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处置动物医疗废弃防疫物资</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县畜牧业管理中心</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1.下发建立动物医疗防疫废弃物回收点要求；</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2.回收动物医疗防疫废弃物，集中销毁处理。</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1.设立废弃动物医疗防疫物资回收点；</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2.协助回收动物医疗废弃防疫物资。</w:t>
            </w:r>
          </w:p>
        </w:tc>
      </w:tr>
      <w:tr>
        <w:tblPrEx>
          <w:tblCellMar>
            <w:top w:w="0" w:type="dxa"/>
            <w:left w:w="108" w:type="dxa"/>
            <w:bottom w:w="0" w:type="dxa"/>
            <w:right w:w="108" w:type="dxa"/>
          </w:tblCellMar>
        </w:tblPrEx>
        <w:trPr>
          <w:cantSplit/>
          <w:trHeight w:val="480" w:hRule="atLeast"/>
        </w:trPr>
        <w:tc>
          <w:tcPr>
            <w:tcW w:w="1393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五、社会管理（1项）</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58</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拆除违规安装的地面接收器</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县委宣传部
县文化广播电视和旅游局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1.核实违规安装地面接收器情况；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2.组织实施拆除违规安装的地面接收器。</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1.排查上报违规安装地面接收器情况；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2.协助实施拆除违规安装的地面接收器。</w:t>
            </w:r>
          </w:p>
        </w:tc>
      </w:tr>
      <w:tr>
        <w:tblPrEx>
          <w:tblCellMar>
            <w:top w:w="0" w:type="dxa"/>
            <w:left w:w="108" w:type="dxa"/>
            <w:bottom w:w="0" w:type="dxa"/>
            <w:right w:w="108" w:type="dxa"/>
          </w:tblCellMar>
        </w:tblPrEx>
        <w:trPr>
          <w:cantSplit/>
          <w:trHeight w:val="480" w:hRule="atLeast"/>
        </w:trPr>
        <w:tc>
          <w:tcPr>
            <w:tcW w:w="1393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六、自然资源（12项）</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59</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设施农用地建设</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县自然资源和林业局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1.审核材料，备案信息；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2.组织实地踏查基本农田设施农用地。</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1.审批上报设施农用地备案材料；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2.组织实地踏查基本农田以外的设施农用地；</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3.协助实地踏查基本农田设施农用地。</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60</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流出耕地找回</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县自然资源和林业局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1.审核流出耕地违法问题台账；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2.处置耕地流出违法行为。</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1.排查流出耕地找回违法行为；</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2.上报流出耕地找回违法问题台账。</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61</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基本农田流出找回</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县自然资源和林业局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1.审核流出耕地违法问题台账；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2.处置基本农田流出违法行为。</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1.排查基本农田流出找回违法行为；</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2.上报基本农田流出找回违法问题台账。</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62</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退耕还林补贴办理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县自然资源和林业局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1.审核批复退耕还林项补贴申请材料；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2.拨付退耕还林补贴资金。</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1.统计退耕还林地块信息；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2.汇总、上报退耕还林补贴申请材料；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3.发放退耕还林项目补贴。</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63</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编制村庄规划</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县自然资源和林业局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审核村庄规划编制材料。</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1.聘请第三方编制村庄规划；</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2.汇总上报村庄规划材料。</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64</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国土空间数据收集监测</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县自然资源和林业局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组织国土空间数据收集监测。</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协助国土空间数据收集监测。</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65</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安装农村饮用水水表</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县水利局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组织专业人员安装水表。</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组织各村协助安装水表。</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66</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维修林业标志</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县自然资源和林业局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1.实地查看林业标志毁坏情况；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2.组织维修林业标志。</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1.收集上报毁坏的林业标志情况；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2.协助维修林业标志。</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67</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林木采伐管理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县自然资源和林业局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1.审核、下达采伐指标；</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2.批复林木采伐申请；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3.核发林木采伐许可证；</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4.抽查、验收采伐地块；</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5.核实采伐后森林资源变化情况；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6.抽查采伐迹地更新造林情况。</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1.公示、分配采伐指标；</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2.初审、上报林木采伐申请；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3.指导林户办理林木采伐许可证，出具采伐作业告知书；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4.与林户签订采伐作业质量保证书；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5.监督林木采伐情况，组织开展验收；</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6.更新、上报采伐后森林资源档案；</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7.监督采伐迹地更新造林情况；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8.组织开展林木采伐验收。</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68</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林地卫星图斑整治</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县自然资源和林业局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1.下发问题图斑情况；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2.整治林地卫星图斑问题。</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1.核实反馈林地卫星图斑问题情况；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2.协助整治林地卫星图斑问题。</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69</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征地补偿款发放</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县自然资源和林业局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拨付征地补偿款资金。</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代发征地补偿款。</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70</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处理集体与国有林木林地所有权和使用权争议</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县自然资源和林业局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1.受理争议双方申请；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2.审核集体林木林地所有权和使用权佐证材料材料；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3.确定林地所有权和使用权。</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1.提供集体林木林地所有权和使用权佐证材料；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2.协助村调解集体林木林地所有权和使用权争议。</w:t>
            </w:r>
          </w:p>
        </w:tc>
      </w:tr>
      <w:tr>
        <w:tblPrEx>
          <w:tblCellMar>
            <w:top w:w="0" w:type="dxa"/>
            <w:left w:w="108" w:type="dxa"/>
            <w:bottom w:w="0" w:type="dxa"/>
            <w:right w:w="108" w:type="dxa"/>
          </w:tblCellMar>
        </w:tblPrEx>
        <w:trPr>
          <w:cantSplit/>
          <w:trHeight w:val="480" w:hRule="atLeast"/>
        </w:trPr>
        <w:tc>
          <w:tcPr>
            <w:tcW w:w="1393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七、生态环境（15项）</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71</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整治固体废物污染</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市生态环境局长白县分局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核实认定固体废物污染问题，下达责令限期整改等整治通知。</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排查上报固体废物污染情况。</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72</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整治入河排污口污染</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市生态环境局长白县分局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核实认定入河排污口污染问题，下达责令限期整改等整治通知。</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排查上报入河排污口污染情况。</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73</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整治农村黑臭水体</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市生态环境局长白县分局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核实认定农村黑臭水体问题，下达责令限期整改等整治通知。</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排查上报农村黑臭水体情况。</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74</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整治农村生活污水问题</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市生态环境局长白县分局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核实认定农村生活污水问题，下达责令限期整改等整治通知。</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排查上报农村生活污水情况。</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75</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整治大气污染</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市生态环境局长白县分局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组织普及大气污染防治知识，制定大气污染防治工作计划，指导大气污染防治工作。</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1.普及大气污染防治知识；</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2.排查上报大气污染情况。</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76</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土壤污染防治</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市生态环境局长白县分局
县农业农村局
县住房和城乡建设局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县生态环境分局：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1.负责土壤及地下水环境监督管理，承担土壤环境保护职责；</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2.贯彻执行土壤污染防治方针政策和管理制度；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3.做好疑似污染地块和污染地块安全利用监管，开展土壤污染风险管控和修复管理；</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4.贯彻落实工业用地和经营性用地土壤环境保护管理制度；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县自然资源和林业局：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1.依据工业用地和经营性用地土壤环境保护管理制度开展土地流转程序；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1.对耕地环境监测点的土壤和农产品进行例行监测；</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2.开展受污染耕地分类管理和安全利用工作；</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3.对未利用地、复垦土地等拟开垦为耕地的，开展土壤污染状况调查；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县住房和城乡建设局：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负责减少区域生活点源污染，提高生活废物处置能力，推进生活垃圾无害化处置。</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1.宣传土壤污染防治法律法规；</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2.普及土壤污染防治知识；</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3.日常巡查土壤污染情况；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4.劝阻土壤污染行为；</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5.上报劝阻无效的土壤污染情况。</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77</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辐射事故应急处置</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市生态环境局长白县分局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1.评估辐射情况；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2.组织处置辐射事故。</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1.排查上报辐射事故情况；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2.协助处置辐射事故。</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78</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处置环保违法问题</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市生态环境局长白县分局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1.研判环保违法问题线索；</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2.处罚环保违法行为。</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1.受理上报环保违法问题线索；</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2.协助处罚环保违法行为。</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79</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处理突发环境事件</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市生态环境局长白县分局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1.研判突发环境事件情况；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2.组织处置突发环境事件。</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1.排查上报突发环境事件情况；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2.协助处理突发环境事件。</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80</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无害化处理病死畜禽</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县畜牧业管理中心</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1.分析病死畜禽情况；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2.组织无害化处理病死畜禽。</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1.排查上报病死畜禽情况；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2.协助无害化处理病死畜禽。</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81</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整治河道“四乱”</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县水利局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1.处置拒不整改的“四乱”问题；</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2.依法督促整治。</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1.摸排河道乱占、乱采、乱堆、乱放问题；</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2.制止河道“四乱”行为；</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3.上报拒不整改河道“四乱”情况。</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82</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整治河道违法违规行为</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县水利局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依法处置河道违法违规行为。</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1.摸排河道违法违规行为；</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2.制止河道违法行为；</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3.上报河道违法违规情况。</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83</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河道清理疏浚</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县水利局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1.批复河道清理疏浚申请；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2.组织开展河道清理疏浚活动。</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1.排查上报申报浚情况；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2.协助开展河道疏浚行动。</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84</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处置涉林违法行为</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县自然资源和林业局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1.核实涉林违法行为情况；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2.调查处置涉林违法行为。</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1.排查上报涉林违法情况；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2.协助处置涉林违法行为。</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85</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农药包装废弃物回收</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县农业农村局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1.下发建立农药包装废弃物回收点要求；</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2.查看农药包装废弃物回收情况；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3.回收转运农药包装废弃物。</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1.建立农药包装废弃物回收点；</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2.协助查看农药包装废弃物回收情况。</w:t>
            </w:r>
          </w:p>
        </w:tc>
      </w:tr>
      <w:tr>
        <w:tblPrEx>
          <w:tblCellMar>
            <w:top w:w="0" w:type="dxa"/>
            <w:left w:w="108" w:type="dxa"/>
            <w:bottom w:w="0" w:type="dxa"/>
            <w:right w:w="108" w:type="dxa"/>
          </w:tblCellMar>
        </w:tblPrEx>
        <w:trPr>
          <w:cantSplit/>
          <w:trHeight w:val="480" w:hRule="atLeast"/>
        </w:trPr>
        <w:tc>
          <w:tcPr>
            <w:tcW w:w="1393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八、城乡建设（9项）</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86</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耕地违规建筑整治</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县自然资源和林业局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1.核实耕地违规建筑情况；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2.对耕地违规建筑进行整治。</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1.排查上报耕地违规建筑情况；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2.协助整治耕地违规建筑行为。</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87</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农村危房改造</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县住房和城乡建设局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1.确定下发农村危房清单；</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2.审核农村危房改造材料；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3.组织实施危房改造；</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4.定期组织巡检危房改造进度；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5.组织实施危房改造验收。</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1.宣传农村危房改造政策；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2.排查上报农村危房情况；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3.申报农村危房改造材料；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4.协助定期巡查农村危房改造进度；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5.协助农村危房改造验收；</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6.整理上报农村危房改造材料。</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88</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农村建筑能效改造</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县住房和城乡建设局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1.审核农村建筑能效改造申请材料；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2.组织实施建筑能效改造。</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1.宣传能效提升改造政策；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2.受理上报能效提升改造申请材料；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3.协助能效提升改造。</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89</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农村清洁能源改造</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县住房和城乡建设局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1.审核农村清洁能源改造申请材料；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2.组织实施建筑能效改造。</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1.宣传农村清洁能源改造政策；</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2.受理上报农村清洁能源改造申请材料；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3.协助实施清洁能源改造。</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90</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农村灾损房屋改造</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县住房和城乡建设局
县应急管理局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县住房和城乡建设局：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1.下放因灾倒损房屋改造通知；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2.核实确定灾损房屋信息；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3.聘请第三方机构鉴定因灾倒损房屋安全等级和损毁情况；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3.协调相关部门验收因灾倒损房屋修缮，重建情况。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县应急管理局：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验收通过后，拨付农村灾损房屋修缮资金。</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1.排查上报灾损房屋情况；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2.指引第三方实地鉴定因灾倒损房屋等级；</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3.指引部门工作人员实地验收因灾倒损房屋修缮、重建情况；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4.发放修缮农村灾损房屋资金。</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91</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农村供水管网改造</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县水利局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1.核实确定农村供水管网安全隐患信息；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2.实施本部门争取资金的农村供水管网改造项目。</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1.排查上报农村供水管网安全隐患信息；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2.实施本乡镇争取资金的农村供水管网改造项目。</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92</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行政村命名更名</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审核行政村命名更名申请材料并批复。</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1.指导村召开村命名更名会议；</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2.编制村命名更名方案；</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3.收集上报行政村命名更名申请材料；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4.组织村公示命名更名信息。</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93</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地名标志维护</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1.实地踏查地标情况；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2.组织人员维护地标。</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协助维护地名标志。</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94</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无名道路命名</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县民政和退役军人事务局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审核无名道路命名材料并批复。</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1.指导村召开村无名道路命名会议；</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2.编制村无名道路命名方案；</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3.收集上报村无名道路命名材料；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4.组织村公示无名道路命名信息。</w:t>
            </w:r>
          </w:p>
        </w:tc>
      </w:tr>
      <w:tr>
        <w:tblPrEx>
          <w:tblCellMar>
            <w:top w:w="0" w:type="dxa"/>
            <w:left w:w="108" w:type="dxa"/>
            <w:bottom w:w="0" w:type="dxa"/>
            <w:right w:w="108" w:type="dxa"/>
          </w:tblCellMar>
        </w:tblPrEx>
        <w:trPr>
          <w:cantSplit/>
          <w:trHeight w:val="480" w:hRule="atLeast"/>
        </w:trPr>
        <w:tc>
          <w:tcPr>
            <w:tcW w:w="1393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九、交通运输（2项）</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95</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农村公路养护、修缮</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县交通运输局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1.核实农村公路安全隐患情况；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2.组织实施农村公路养护、修缮。</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1.排查上报公路隐患情况；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2.协助实施农村公路养护、修缮。</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96</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处置违规占道行为</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县交通运输局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1.核查拒不整改违规占道行为情况；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2.组织处置违规占道行为。</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1.排查劝导违规占道行为；</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2.上报拒不整改违规占道行为情况；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3.协助处置违规占道行为。</w:t>
            </w:r>
          </w:p>
        </w:tc>
      </w:tr>
      <w:tr>
        <w:tblPrEx>
          <w:tblCellMar>
            <w:top w:w="0" w:type="dxa"/>
            <w:left w:w="108" w:type="dxa"/>
            <w:bottom w:w="0" w:type="dxa"/>
            <w:right w:w="108" w:type="dxa"/>
          </w:tblCellMar>
        </w:tblPrEx>
        <w:trPr>
          <w:cantSplit/>
          <w:trHeight w:val="480" w:hRule="atLeast"/>
        </w:trPr>
        <w:tc>
          <w:tcPr>
            <w:tcW w:w="1393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十、文化和旅游（2项）</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97</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文物普查与文物保护</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县委宣传部
县文化广播电视和旅游局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1.组织实施文物普查；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2.指导乡镇文物保护工作。</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1.落实文物保护属地责任制；</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2.上报发现的文物线索；</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3.协助实施文物普查。</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98</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安装应急广播设备</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县委宣传部
县文化广播电视和旅游局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1.组织乡镇征集应急广播设备安装选址意见；</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2.汇总、研判选址意见，确定安装地点；</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3.订购设备，组织人员安装。</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收集上报应急广播设备安装选址意见。</w:t>
            </w:r>
          </w:p>
        </w:tc>
      </w:tr>
      <w:tr>
        <w:tblPrEx>
          <w:tblCellMar>
            <w:top w:w="0" w:type="dxa"/>
            <w:left w:w="108" w:type="dxa"/>
            <w:bottom w:w="0" w:type="dxa"/>
            <w:right w:w="108" w:type="dxa"/>
          </w:tblCellMar>
        </w:tblPrEx>
        <w:trPr>
          <w:cantSplit/>
          <w:trHeight w:val="480" w:hRule="atLeast"/>
        </w:trPr>
        <w:tc>
          <w:tcPr>
            <w:tcW w:w="1393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十一、卫生健康（1项）</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99</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走访慰问失独家庭</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县卫生健康和医疗保障局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1.审核失独家庭人员信息；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2.走访慰问失独家庭。</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1.统计上报失独家庭人员信息；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2.协助走访慰问失独家庭。</w:t>
            </w:r>
          </w:p>
        </w:tc>
      </w:tr>
      <w:tr>
        <w:tblPrEx>
          <w:tblCellMar>
            <w:top w:w="0" w:type="dxa"/>
            <w:left w:w="108" w:type="dxa"/>
            <w:bottom w:w="0" w:type="dxa"/>
            <w:right w:w="108" w:type="dxa"/>
          </w:tblCellMar>
        </w:tblPrEx>
        <w:trPr>
          <w:cantSplit/>
          <w:trHeight w:val="480" w:hRule="atLeast"/>
        </w:trPr>
        <w:tc>
          <w:tcPr>
            <w:tcW w:w="1393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十二、应急管理及消防（7项）</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100</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冬春救助办理</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县应急管理局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1.审核冬春救助申请材料；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2.拨付冬春救助资金。</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1.统计冬春救助情况；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2.申报冬春救助材料；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3.发放冬春救助资金。</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101</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居民住宅燃气安全隐患整治</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县住房和城乡建设局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1.核实居民住宅燃气安全隐患情况；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2.组织整治居民住宅燃气安全隐患。</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1.排查上报居民燃气安全隐患情况；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2.协助整治居民住宅燃气安全隐患。</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102</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自然灾害防范处置</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县应急管理局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1.指导乡镇建立灾害应急预案和调度方案；</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2.组织开展灾害防范宣传教育；</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3.汇总风险隐患点清单，分析研判风险形势；</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4.督促建立抢险救援队伍；</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5.督促开展人防、物防、技防等日常演练；</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6.汇总低洼易涝点、江河堤防等各类风险隐患点情况；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7.转发气象预警信息；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8.组织值班值守，汇总、处置灾害信息；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9.指导督促转移安置受灾群众；</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10.审核、下拨救灾资金，交乡镇发放；</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11.调度、下拨救灾物资，交乡镇发放；</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12.指导受灾群众恢复灾后生产生活。</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1.制定自然灾害应急预案和调度方案；</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2.组织开展灾害防范宣传教育；</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3.普及应对自然灾害自救常识；</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4.填报辖区风险隐患点清单；</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5.组建抢险救援队伍，组织防灾减灾救灾培训；</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6.组织开展人防、物防、技防等日常演练；</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7.开展辖区内低洼易涝点、江河堤防、山塘水库、山洪和地质灾害危险区等各类风险隐患点巡查巡并上报清单；</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8.转发气象预警信息；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9.组织人员值班值守、报送灾害信息；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10.出现险情时，及时组织受灾害威胁的居民及其他人员转移到安全地带；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11.发生灾情时，组织转移安置受灾群众；</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12.受理自然灾害救助资金申请；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13.核实、上报申请人受灾情况；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14.将审核通过的受灾申请人信息录入系统；</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15.代发自然灾害救助资金；</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16.接收、发放上级下拨的救灾物资；</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17.组织灾后受灾群众恢复生产生活。</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103</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安全生产监管</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县应急管理局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1.各行管部门组织开展各自安全生产知识普及活动；</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2.各行管部门指导乡镇开展各自安全生产应急演练；</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3.各行管部门组织开展各自“九小场所”等生产经营性单位的安全生产检查；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4.各行管部门组织开展各自行管生产经营性单位定期安全生产检查；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5.各行管部门发现各自问题，责令整改；</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6.各行管部门组织开展各自行管生产经营性单位安全生产隐患整改情况检查，处置整改不到位、拒不整改行为；</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7.接收、核实乡镇上报的安全生产事故信息,指导乡镇启动应急预案并报上级部门；</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8.勘察、处置事故现场。</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1.组织召开安全生产工作部署会议；</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2.组织召开安全生产情况分析研判会议；</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3.组织召开安全生产情况述职会议；</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4.组织建立安全生产应急工作队伍；</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5.编制安全生产应急预案；</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6.指导各村制定应急事项处置方案；</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7.指导生产经营单位落实安全生产责任；</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8.组织开展燃气安全宣传活动；</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9.组织焊接与切割从业人员参加安全教育培训；</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10.组织开展焊接与切割作业安全宣传活动；</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11.组织“安全生产月”和“白山松水安全行”宣传活动；</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12.组织开展安全生产法律法规宣传活动；</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13.组织观看燃气安全科普直播；</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14.组织开展安全生产应急演练；</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15.组织人员参与“九小场所”的燃气、醇基、经营性自建房、大跨度结构经营性场所、有限空间作业的安全生产检查；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16.组织人员参与企业、文旅场所、光伏电站等生产经营性单位的安全生产检查；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17.组织人员参与定期安全生产检查；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18.督促提醒生产经营性单位整改隐患；</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19.组织人员参与安全生产隐患整改情况检查；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20.上报突发安全生产事故情况；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21.启动安全生产应急预案；</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22.先期处置突发安全生产事故并组织群众撤离。</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104</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消防安全监管</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县消防大队</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kern w:val="0"/>
                <w:szCs w:val="21"/>
                <w:lang w:bidi="ar"/>
              </w:rPr>
            </w:pPr>
            <w:r>
              <w:rPr>
                <w:rFonts w:hint="eastAsia" w:ascii="Times New Roman" w:hAnsi="方正公文仿宋" w:eastAsia="方正公文仿宋"/>
                <w:kern w:val="0"/>
                <w:szCs w:val="21"/>
                <w:lang w:bidi="ar"/>
              </w:rPr>
              <w:t>1.指导乡镇制定消防应急预案；</w:t>
            </w:r>
          </w:p>
          <w:p>
            <w:pPr>
              <w:widowControl/>
              <w:kinsoku/>
              <w:spacing w:before="0" w:beforeLines="0" w:after="0" w:afterLines="0"/>
              <w:textAlignment w:val="auto"/>
              <w:rPr>
                <w:rFonts w:hint="eastAsia" w:ascii="Times New Roman" w:hAnsi="方正公文仿宋" w:eastAsia="方正公文仿宋"/>
                <w:kern w:val="0"/>
                <w:szCs w:val="21"/>
                <w:lang w:bidi="ar"/>
              </w:rPr>
            </w:pPr>
            <w:r>
              <w:rPr>
                <w:rFonts w:hint="eastAsia" w:ascii="Times New Roman" w:hAnsi="方正公文仿宋" w:eastAsia="方正公文仿宋"/>
                <w:kern w:val="0"/>
                <w:szCs w:val="21"/>
                <w:lang w:bidi="ar"/>
              </w:rPr>
              <w:t>2.指导乡镇开展消防应急演练；</w:t>
            </w:r>
          </w:p>
          <w:p>
            <w:pPr>
              <w:widowControl/>
              <w:kinsoku/>
              <w:spacing w:before="0" w:beforeLines="0" w:after="0" w:afterLines="0"/>
              <w:textAlignment w:val="auto"/>
              <w:rPr>
                <w:rFonts w:hint="eastAsia" w:ascii="Times New Roman" w:hAnsi="方正公文仿宋" w:eastAsia="方正公文仿宋"/>
                <w:kern w:val="0"/>
                <w:szCs w:val="21"/>
                <w:lang w:bidi="ar"/>
              </w:rPr>
            </w:pPr>
            <w:r>
              <w:rPr>
                <w:rFonts w:hint="eastAsia" w:ascii="Times New Roman" w:hAnsi="方正公文仿宋" w:eastAsia="方正公文仿宋"/>
                <w:kern w:val="0"/>
                <w:szCs w:val="21"/>
                <w:lang w:bidi="ar"/>
              </w:rPr>
              <w:t>3.安排消防派驻文员排查易发现、易处置公共场所消防安全隐患，及时制止易发现、易处置公共场所消防安全问题；</w:t>
            </w:r>
            <w:bookmarkStart w:id="12" w:name="_GoBack"/>
            <w:bookmarkEnd w:id="12"/>
          </w:p>
          <w:p>
            <w:pPr>
              <w:widowControl/>
              <w:kinsoku/>
              <w:spacing w:before="0" w:beforeLines="0" w:after="0" w:afterLines="0"/>
              <w:textAlignment w:val="auto"/>
              <w:rPr>
                <w:rFonts w:hint="eastAsia" w:ascii="Times New Roman" w:hAnsi="方正公文仿宋" w:eastAsia="方正公文仿宋"/>
                <w:kern w:val="0"/>
                <w:szCs w:val="21"/>
                <w:lang w:bidi="ar"/>
              </w:rPr>
            </w:pPr>
            <w:r>
              <w:rPr>
                <w:rFonts w:hint="eastAsia" w:ascii="Times New Roman" w:hAnsi="方正公文仿宋" w:eastAsia="方正公文仿宋"/>
                <w:kern w:val="0"/>
                <w:szCs w:val="21"/>
                <w:lang w:bidi="ar"/>
              </w:rPr>
              <w:t>4.发生火情时，组织疏散群众，处置火情；</w:t>
            </w:r>
          </w:p>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5.组织处置拒不整改问题。</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kern w:val="0"/>
                <w:szCs w:val="21"/>
                <w:lang w:bidi="ar"/>
              </w:rPr>
            </w:pPr>
            <w:r>
              <w:rPr>
                <w:rFonts w:hint="eastAsia" w:ascii="Times New Roman" w:hAnsi="方正公文仿宋" w:eastAsia="方正公文仿宋"/>
                <w:kern w:val="0"/>
                <w:szCs w:val="21"/>
                <w:lang w:bidi="ar"/>
              </w:rPr>
              <w:t>1.落实消防安全责任制，制定消防安全制度、消防应急预案；</w:t>
            </w:r>
          </w:p>
          <w:p>
            <w:pPr>
              <w:widowControl/>
              <w:kinsoku/>
              <w:spacing w:before="0" w:beforeLines="0" w:after="0" w:afterLines="0"/>
              <w:textAlignment w:val="auto"/>
              <w:rPr>
                <w:rFonts w:hint="eastAsia" w:ascii="Times New Roman" w:hAnsi="方正公文仿宋" w:eastAsia="方正公文仿宋"/>
                <w:kern w:val="0"/>
                <w:szCs w:val="21"/>
                <w:lang w:bidi="ar"/>
              </w:rPr>
            </w:pPr>
            <w:r>
              <w:rPr>
                <w:rFonts w:hint="eastAsia" w:ascii="Times New Roman" w:hAnsi="方正公文仿宋" w:eastAsia="方正公文仿宋"/>
                <w:kern w:val="0"/>
                <w:szCs w:val="21"/>
                <w:lang w:bidi="ar"/>
              </w:rPr>
              <w:t>2.动态研判消防安全形势，研究部署消防工作，组织开展消防应急演练；</w:t>
            </w:r>
          </w:p>
          <w:p>
            <w:pPr>
              <w:widowControl/>
              <w:kinsoku/>
              <w:spacing w:before="0" w:beforeLines="0" w:after="0" w:afterLines="0"/>
              <w:textAlignment w:val="auto"/>
              <w:rPr>
                <w:rFonts w:hint="eastAsia" w:ascii="Times New Roman" w:hAnsi="方正公文仿宋" w:eastAsia="方正公文仿宋"/>
                <w:kern w:val="0"/>
                <w:szCs w:val="21"/>
                <w:lang w:bidi="ar"/>
              </w:rPr>
            </w:pPr>
            <w:r>
              <w:rPr>
                <w:rFonts w:hint="eastAsia" w:ascii="Times New Roman" w:hAnsi="方正公文仿宋" w:eastAsia="方正公文仿宋"/>
                <w:kern w:val="0"/>
                <w:szCs w:val="21"/>
                <w:lang w:bidi="ar"/>
              </w:rPr>
              <w:t>3.组织人员参与易发现、易处置公共场所消防安全隐患排查；</w:t>
            </w:r>
          </w:p>
          <w:p>
            <w:pPr>
              <w:widowControl/>
              <w:kinsoku/>
              <w:spacing w:before="0" w:beforeLines="0" w:after="0" w:afterLines="0"/>
              <w:textAlignment w:val="auto"/>
              <w:rPr>
                <w:rFonts w:hint="eastAsia" w:ascii="Times New Roman" w:hAnsi="方正公文仿宋" w:eastAsia="方正公文仿宋"/>
                <w:kern w:val="0"/>
                <w:szCs w:val="21"/>
                <w:lang w:bidi="ar"/>
              </w:rPr>
            </w:pPr>
            <w:r>
              <w:rPr>
                <w:rFonts w:hint="eastAsia" w:ascii="Times New Roman" w:hAnsi="方正公文仿宋" w:eastAsia="方正公文仿宋"/>
                <w:kern w:val="0"/>
                <w:szCs w:val="21"/>
                <w:lang w:bidi="ar"/>
              </w:rPr>
              <w:t>4.制止易发现、易处置公共场所消防安全隐患，发现无法彻底整改的消防隐患及时上报；</w:t>
            </w:r>
          </w:p>
          <w:p>
            <w:pPr>
              <w:widowControl/>
              <w:kinsoku/>
              <w:spacing w:before="0" w:beforeLines="0" w:after="0" w:afterLines="0"/>
              <w:textAlignment w:val="auto"/>
              <w:rPr>
                <w:rFonts w:hint="eastAsia" w:ascii="Times New Roman" w:hAnsi="方正公文仿宋" w:eastAsia="方正公文仿宋"/>
                <w:kern w:val="0"/>
                <w:szCs w:val="21"/>
                <w:lang w:bidi="ar"/>
              </w:rPr>
            </w:pPr>
            <w:r>
              <w:rPr>
                <w:rFonts w:hint="eastAsia" w:ascii="Times New Roman" w:hAnsi="方正公文仿宋" w:eastAsia="方正公文仿宋"/>
                <w:kern w:val="0"/>
                <w:szCs w:val="21"/>
                <w:lang w:bidi="ar"/>
              </w:rPr>
              <w:t>5.发生火情及时组织群众疏散；</w:t>
            </w:r>
          </w:p>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6.指导村（社区）确定消防安全管理人，制定防火公约，根据需要建立志愿消防队等多种形式的消防组织。</w:t>
            </w:r>
          </w:p>
        </w:tc>
      </w:tr>
      <w:tr>
        <w:tblPrEx>
          <w:tblCellMar>
            <w:top w:w="0" w:type="dxa"/>
            <w:left w:w="108" w:type="dxa"/>
            <w:bottom w:w="0" w:type="dxa"/>
            <w:right w:w="108" w:type="dxa"/>
          </w:tblCellMar>
        </w:tblPrEx>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105</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森林草原防灭火</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县应急管理局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1.指导乡镇制定森林草原防灭火应急预案；</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2.指导乡镇开展森林防灭火演练；</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3.检查值班值守情况；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4.指导乡镇划分防灭火工作网格，组建半专业扑火队，明确工作责任；</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5.指导乡镇建立防灭火物资库、管理防灭火物资；</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6.发生火情时，调度火情及初期扑救情况，处置未扑灭森林火灾。</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1.宣传森林防灭火政策法规；</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2.召开森林防火春秋两季动员部署会；</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3.制定森林防灭火实施方案；</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4.制定森林火灾应急预案；</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5.签订政企联防协议；</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6.组织森林草原防灭火演练；</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7.设立防火检查卡点；</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8.监督检查防火卡点值守情况；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9.落实防火期值班值守任务；</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10.划分防灭火工作网格；</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11.组建半专业扑火队伍；</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12.落实半专业扑火队值班制度；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13.建立森林草原防灭火物资库；</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14.管理森林草原防灭火物资；</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15.向各村公布火险预警；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16.发现火情，上报森林草原火灾地点、火势大小、人员被困情况等信息；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17.在火势较小、保证安全的前提下，先行组织进行初期扑救。</w:t>
            </w:r>
          </w:p>
        </w:tc>
      </w:tr>
      <w:tr>
        <w:trPr>
          <w:cantSplit/>
          <w:trHeight w:val="179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kinsoku/>
              <w:spacing w:before="0" w:beforeLines="0" w:after="0" w:afterLines="0"/>
              <w:jc w:val="center"/>
              <w:textAlignment w:val="center"/>
              <w:rPr>
                <w:rFonts w:hint="eastAsia" w:ascii="Times New Roman" w:hAnsi="方正公文仿宋" w:eastAsia="方正公文仿宋"/>
                <w:szCs w:val="21"/>
              </w:rPr>
            </w:pPr>
            <w:r>
              <w:rPr>
                <w:rFonts w:hint="eastAsia" w:ascii="Times New Roman" w:hAnsi="方正公文仿宋" w:eastAsia="方正公文仿宋"/>
                <w:kern w:val="0"/>
                <w:szCs w:val="21"/>
                <w:lang w:bidi="ar"/>
              </w:rPr>
              <w:t>106</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水毁工程项目维修</w:t>
            </w:r>
          </w:p>
        </w:tc>
        <w:tc>
          <w:tcPr>
            <w:tcW w:w="18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县水利局</w:t>
            </w:r>
          </w:p>
        </w:tc>
        <w:tc>
          <w:tcPr>
            <w:tcW w:w="484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1.审核水毁工程项目申报材料；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2.实地查看水利工程毁坏情况；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3.负责项目申报、向上争取资金、组织项目实施维修。</w:t>
            </w:r>
          </w:p>
        </w:tc>
        <w:tc>
          <w:tcPr>
            <w:tcW w:w="484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1.受理各村维修水毁项目申请材料；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2.审核维修水毁项目材料可行性；</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3.上报水毁项目修复申请。</w:t>
            </w:r>
          </w:p>
        </w:tc>
      </w:tr>
    </w:tbl>
    <w:p>
      <w:pPr>
        <w:pStyle w:val="3"/>
        <w:spacing w:before="0" w:after="0" w:line="240" w:lineRule="auto"/>
        <w:jc w:val="center"/>
        <w:rPr>
          <w:rFonts w:ascii="Times New Roman" w:hAnsi="Times New Roman" w:eastAsia="方正小标宋_GBK" w:cs="Times New Roman"/>
          <w:color w:val="auto"/>
          <w:spacing w:val="7"/>
          <w:lang w:eastAsia="zh-CN"/>
        </w:rPr>
      </w:pPr>
      <w:r>
        <w:rPr>
          <w:rFonts w:ascii="Times New Roman" w:hAnsi="Times New Roman" w:eastAsia="方正小标宋_GBK" w:cs="Times New Roman"/>
          <w:color w:val="auto"/>
          <w:spacing w:val="7"/>
          <w:lang w:eastAsia="zh-CN"/>
        </w:rPr>
        <w:br w:type="page"/>
      </w:r>
      <w:bookmarkStart w:id="8" w:name="_Toc172077553"/>
      <w:bookmarkStart w:id="9" w:name="_Toc172533654"/>
      <w:bookmarkStart w:id="10" w:name="_Toc172077951"/>
      <w:bookmarkStart w:id="11" w:name="_Toc172077418"/>
      <w:r>
        <w:rPr>
          <w:rFonts w:hint="eastAsia" w:ascii="Times New Roman" w:hAnsi="Times New Roman" w:eastAsia="方正公文小标宋" w:cs="Times New Roman"/>
          <w:b w:val="0"/>
          <w:lang w:eastAsia="zh-CN"/>
        </w:rPr>
        <w:t>上级部门收回事项清单</w:t>
      </w:r>
      <w:bookmarkEnd w:id="8"/>
      <w:bookmarkEnd w:id="9"/>
      <w:bookmarkEnd w:id="10"/>
      <w:bookmarkEnd w:id="11"/>
    </w:p>
    <w:tbl>
      <w:tblPr>
        <w:tblStyle w:val="8"/>
        <w:tblW w:w="14045" w:type="dxa"/>
        <w:tblInd w:w="0" w:type="dxa"/>
        <w:tblLayout w:type="autofit"/>
        <w:tblCellMar>
          <w:top w:w="0" w:type="dxa"/>
          <w:left w:w="108" w:type="dxa"/>
          <w:bottom w:w="0" w:type="dxa"/>
          <w:right w:w="108" w:type="dxa"/>
        </w:tblCellMar>
      </w:tblPr>
      <w:tblGrid>
        <w:gridCol w:w="726"/>
        <w:gridCol w:w="4990"/>
        <w:gridCol w:w="8329"/>
      </w:tblGrid>
      <w:tr>
        <w:tblPrEx>
          <w:tblCellMar>
            <w:top w:w="0" w:type="dxa"/>
            <w:left w:w="108" w:type="dxa"/>
            <w:bottom w:w="0" w:type="dxa"/>
            <w:right w:w="108" w:type="dxa"/>
          </w:tblCellMar>
        </w:tblPrEx>
        <w:trPr>
          <w:cantSplit/>
          <w:trHeight w:val="658" w:hRule="atLeast"/>
          <w:tblHeader/>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方正公文黑体"/>
                <w:lang w:eastAsia="zh-CN"/>
              </w:rPr>
            </w:pPr>
            <w:r>
              <w:rPr>
                <w:rFonts w:ascii="Times New Roman" w:hAnsi="Times New Roman" w:eastAsia="方正公文黑体"/>
                <w:lang w:eastAsia="zh-CN" w:bidi="ar"/>
              </w:rPr>
              <w:t>序号</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方正公文黑体"/>
                <w:lang w:eastAsia="zh-CN"/>
              </w:rPr>
            </w:pPr>
            <w:r>
              <w:rPr>
                <w:rFonts w:ascii="Times New Roman" w:hAnsi="Times New Roman" w:eastAsia="方正公文黑体"/>
                <w:lang w:eastAsia="zh-CN" w:bidi="ar"/>
              </w:rPr>
              <w:t>事项名称</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Times New Roman" w:hAnsi="Times New Roman" w:eastAsia="方正公文黑体"/>
                <w:lang w:eastAsia="zh-CN"/>
              </w:rPr>
            </w:pPr>
            <w:r>
              <w:rPr>
                <w:rFonts w:ascii="Times New Roman" w:hAnsi="Times New Roman" w:eastAsia="方正公文黑体"/>
                <w:lang w:eastAsia="zh-CN" w:bidi="ar"/>
              </w:rPr>
              <w:t>承接部门及工作方式</w:t>
            </w:r>
          </w:p>
        </w:tc>
      </w:tr>
      <w:tr>
        <w:tblPrEx>
          <w:tblCellMar>
            <w:top w:w="0" w:type="dxa"/>
            <w:left w:w="108" w:type="dxa"/>
            <w:bottom w:w="0" w:type="dxa"/>
            <w:right w:w="108" w:type="dxa"/>
          </w:tblCellMar>
        </w:tblPrEx>
        <w:trPr>
          <w:cantSplit/>
          <w:trHeight w:val="480" w:hRule="atLeast"/>
        </w:trPr>
        <w:tc>
          <w:tcPr>
            <w:tcW w:w="13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一、平安法治（3项）</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出具法律援助经济状况证明</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承接部门：县委政法委县司法局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工作方式：根据《法律援助法》相关规定，不再开展此项工作。</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2</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开展摩托车、人力三轮车、残疾人机动轮椅及装配动力装置的无牌无证车辆管理整治工作</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承接部门：县公安局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1.公安局交通管理大队与交通运输局等相关部门组成联合工作小组；</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2.通过社区摸牌、重点人员密集场所设点检查等工作方式，加强上述车辆及违法行为的查处力度，按照《中华人民共和国道路交通安全法》及相关法律法规规定开展处罚工作。</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3</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处罚不文明养犬行为</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承接部门：县公安局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1.在首次发现群众不文明养犬行为的，由治安大队、边管大队、各边境派出所下达整改通知书进行告诫；</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2.在发现群众第二次或以上不文明养犬行为的，由治安大队、边管大队、各边境派出所按照《白山市养犬管理条例》规定予以处罚。</w:t>
            </w:r>
          </w:p>
        </w:tc>
      </w:tr>
      <w:tr>
        <w:tblPrEx>
          <w:tblCellMar>
            <w:top w:w="0" w:type="dxa"/>
            <w:left w:w="108" w:type="dxa"/>
            <w:bottom w:w="0" w:type="dxa"/>
            <w:right w:w="108" w:type="dxa"/>
          </w:tblCellMar>
        </w:tblPrEx>
        <w:trPr>
          <w:cantSplit/>
          <w:trHeight w:val="480" w:hRule="atLeast"/>
        </w:trPr>
        <w:tc>
          <w:tcPr>
            <w:tcW w:w="13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二、乡村振兴（18项）</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4</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食用菌菌种生产经营许可</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1.行政相对人提出申请；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2.受理、审核行政相对人申请材料；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3.发放食用菌菌种生产经营许可证。</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5</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对农药经营者未取得农药经营许可证经营农药，经营假农药，在农药中添加物质，取得农药经营许可证的农药经营者不再符合规定条件继续经营农药的处罚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1.受理问题线索；</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2.现场核实、调查、取证；</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3.执行行政处罚。</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6</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调查处理未按照规定及时回收农药包装废弃物交由专门的机构或者组织进行无害化处理案件</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1.受理问题线索；</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2.现场核实、调查、取证；</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3.下达处罚决定。</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7</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收割机、拖拉机等农机技能操作培训</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1.汇总培训人员名单；</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2.组织人员进行培训。</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8</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规模以下畜禽养殖废弃物综合利用指导和服务</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1.畜牧业管理中心根据省畜牧局确定的畜禽粪污资源化利用主推技术，结合县域实际确定主推技术；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2.畜牧业管理中心组织乡镇畜牧兽医工作人员和村级防疫员开展畜禽粪污资源化利用培训，由乡镇畜牧工作人员入户指导；</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3.畜牧业管理中心联合各乡镇综合服务中心（畜牧科)对辖区内的畜禽养殖户现场进行技术指导，确保畜禽粪污有效利用。</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乡镇引导县农业农村局相关工作人员到现场进行技术指导。</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9</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农业机械安全监督检查</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1.对农业机械安全监督检查；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2.发现问题并处理。</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10</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拖拉机、联合收割机登记、证书和牌照核发</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1.受理行政相对人提出的申请；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2.审核确认后发放拖拉机、联合收割机登记、证书和牌照。</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11</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拖拉机、联合收割机操作人员操作证件核发</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1.受理行政相对人提出的申请；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2.审核确认后发放拖拉机、联合收割机操作人员操作证件。</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12</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对推广惠农类APP的考核</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工作方式：落实党中央精简优化基层考核有关要求，不再开展此项工作。</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13</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对培育新增休闲农业经营主体任务的考核</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1.受理企业提出的申请；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2.初审申请材料；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3.报上一级组织考核。</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14</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动物疫情信息采集</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1.畜牧业管理中心通过主动监测信息采集、被动报告信息采集，接收养殖场户、屠宰企业、动物诊疗机构、社会公众等的疫情报告；</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2.畜牧业管理中心对报告的疫情信息进行详细记录，及时核实报告信息的真实性和准确性；​</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3.畜牧业管理中心对存在问题的信息进行样品采集，对采集的动物样本及时进行实验室检测，为疫情诊断提供科学依据；​</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4.畜牧业管理中心流行病学调查信息采集，当发现疑似或确诊动物疫情时，及时开展流行病学调查，分析疫情传播链和可能的扩散范围。</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15</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动物及动物产品检疫</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1.畜牧业管理中心受理申请人提出的申请；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2.畜牧业管理中心官方兽医进行检疫；</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3.畜牧业管理中心出具检疫证。</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16</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组织收集、处理并溯源在江河、湖泊、水库等水域发现的死亡畜禽</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1.接受举报或检查过程中发现死亡畜禽相关单位第一时间上报县政府，由县政府指派收集单位；</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指派单位及时开展收集和溯源工作，并及时通报县畜牧业管理中心。由畜牧业管理中心指派农业综合执法大队（畜牧）进行无害化处理指导，并配合指派单位开展溯源，对未按照规定随意弃置病死动物养殖场户由农业综合执法大队（畜牧）按照《动物防疫法》规定予以处罚；</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3.病死畜禽收集、无害化处理工作按照就近处理的原则，由农业综合执法大队（畜牧）做好防疫评估，确定处理场所，指导指派单位做好人员防护和消毒，及时开展车辆、相关工具及作业环境进行消毒；</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4.在城市公共场所和乡村发现的死亡畜禽，依法由所在地街道办事处、乡级人民政府组织收集、处理并溯源。并按本流程第2条要求开展无害化处理工作。</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17</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畜牧品种试验和推广应用</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1.畜牧业管理中心根据省畜牧业主推技术和主推品种，结合实际畜牧业发展的基本情况，依托畜牧业科技示范基地开展畜牧业主推技术和主推品种示范推广工作；</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2.畜牧业管理中心通过开展培训和技术讲座、组织实地观摩活动、制作宣传手册等方式，提高畜牧新技术和畜禽品种推广的宣传力度，重点推广优质品种以及高产高效养殖技术，为基层养殖户提供科技帮扶；</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乡镇畜牧业技术人员在入户技术指导中宣传推广新品种、新技术，组织本地养殖户参加相关培训和观摩活动，推动畜牧技术推广的持续和发展。</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18</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水产公共信息和水产技术宣传教育、培训服务</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1.制作宣传材料；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2.开展水产公共信息和水产技术宣传教育、培训服务。</w:t>
            </w:r>
          </w:p>
        </w:tc>
      </w:tr>
      <w:tr>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19</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开展惠民保征缴工作</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工作方式：落实党中央为基层减负有关要求，不再开展此项工作。</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20</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对惠民保征缴工作的考核</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工作方式：落实党中央为基层减负有关要求，不再开展此项工作。</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21</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农产品产地冷藏保鲜设施建设</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1.受理企业提出的申请；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2.初审申请材料；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3.报上一级组织审核。</w:t>
            </w:r>
          </w:p>
        </w:tc>
      </w:tr>
      <w:tr>
        <w:tblPrEx>
          <w:tblCellMar>
            <w:top w:w="0" w:type="dxa"/>
            <w:left w:w="108" w:type="dxa"/>
            <w:bottom w:w="0" w:type="dxa"/>
            <w:right w:w="108" w:type="dxa"/>
          </w:tblCellMar>
        </w:tblPrEx>
        <w:trPr>
          <w:cantSplit/>
          <w:trHeight w:val="480" w:hRule="atLeast"/>
        </w:trPr>
        <w:tc>
          <w:tcPr>
            <w:tcW w:w="13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三、社会管理（6项）</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22</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对完成城镇新增就业人数任务的考核</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承接部门：县人力资源和社会保障局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1.由市就业局发布工作考核指标；</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2.结合实际情况向各乡镇分配任务数，督促各乡镇完成考核任务。</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23</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创业实体信息及就业务工信息统计</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承接部门：县人力资源和社会保障局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1.网上受理企业提出的用工备案申请；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2.对符合要求的，审核通过；对不符合要求的，提出修改补正意见，并反馈企业。</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24</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高校应届毕业生生源信息核查</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承接部门：县人力资源和社会保障局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1.根据市人才交流部门下发本年度高校毕业生数据核查高校应届毕业生生源信息；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2.统计上报高校毕业生源核查情况。</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25</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对违规领取80岁以上高龄津贴的追缴</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承接部门：县民政和退役军人事务局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1.接受举报或检查过程中发现违规领取高龄津贴问题，立即联系医疗、公安部门进行信息比对核实；</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2.确定违规领取金额，联系津贴发放数据信息中老人直系亲属的联系人，告知其违规领取及回退津贴事宜；</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3.追缴违规领取款项并上缴财政。</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26</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出具婚姻状况证明（婚姻关系证明、分居证明）</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承接部门：县民政和退役军人事务局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工作方式：法律法规条款已失效，不再开展此项工作。</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27</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社区社会组织备案管理</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承接部门：县民政和退役军人事务局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1.社区社会组织发起人向县民政和退役军人事务局提出申请；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2.民政和退役军人事务局进行备案，社区社会组织提供备案材料；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3.在收到全部有效材料之日起七日内出具同意或不同意备案的意见书。</w:t>
            </w:r>
          </w:p>
        </w:tc>
      </w:tr>
      <w:tr>
        <w:tblPrEx>
          <w:tblCellMar>
            <w:top w:w="0" w:type="dxa"/>
            <w:left w:w="108" w:type="dxa"/>
            <w:bottom w:w="0" w:type="dxa"/>
            <w:right w:w="108" w:type="dxa"/>
          </w:tblCellMar>
        </w:tblPrEx>
        <w:trPr>
          <w:cantSplit/>
          <w:trHeight w:val="480" w:hRule="atLeast"/>
        </w:trPr>
        <w:tc>
          <w:tcPr>
            <w:tcW w:w="13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四、自然资源（9项）</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28</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土地征收、征用</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承接部门：县自然资源和林业局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1.发布征收土地预公告并开展拟征收土地现状调查和社会稳定风险评估；</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2.依据社会稳定风险评估结果，结合土地现状调查情况，组织自然资源、财政、农业农村、人力资源和社会保障等有关部门拟定征地补偿安置方案，并发布补偿安置方案公告；</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3.组织补偿登记，拟征收土地的所有权人、使用权人应在公告期限内持相关证明到村委会或征收部门办理补偿登记并签订征收补偿协议；</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4.前期工作完成，权属及补偿无任何争议后，由县自然资源部门代县政府进行组卷报有审批权限的人民政府申请土地征收；</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5.征收土地申请经依法批准后，自收到批准文件之日起十五个工作日内在政府网站、征收土地所在的乡（镇）政务公开栏和村务公开栏以及村民小组显著位置进行征收土地公告。</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29</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开展地质灾害隐患判定、治理工作</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承接部门：县自然资源和林业局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1.组织开展新增隐患点的申报工作；</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2.对申报的隐患点进行实地调查，收集相关数据和信息；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3.组织专家对调查结果进行论证，确定隐患点的存在与否及其危险程度；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4.根据论证结果，对确认的隐患点进行登记和记录；</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5.将确认的隐患点信息向社会公开，接受监督。</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30</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对未经批准或者未按照批准的取水许可规定条件取水的处罚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承接部门：县水利局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1.接到举报或检查后，指定专人调查；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2.审查违法事实、证据及法律适用，提出处罚建议；</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3.处罚决定生效后按照有关法律程序执行。</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31</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公益林管护</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承接部门：县自然资源和林业局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1.组织、指导公益林林权所有者开展公益林管理、管护和检查工作；</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2.组织、指导各乡镇人民政府林业部门开展护林人员选聘、考核、公益林保护和补偿资金申报等工作；</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3.组织、指导各乡镇人民政府宣传公益林保护法律法规政策，开展公益林管护人员管理和日常公益林管护等工作。</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32</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对擅自移动或者毁坏森林保护标志的行政处罚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承接部门：县自然资源和林业局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1.做出立案决定；</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2.调查取证；</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3.按照《中华人民共和国森林法》规定和参照《吉林省林草行政处罚裁量权实施办法》予以处罚；</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4.对擅自移动或者毁坏森林保护的标志予以恢复。</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33</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对擅自移动或者毁坏林业服务标志的行政处罚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承接部门：县自然资源和林业局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1.做出立案决定；</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2.调查取证；</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3.按照《中华人民共和国森林法》规定和参照《吉林省林草行政处罚裁量权实施办法》予以处罚；</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4.对擅自移动或者毁坏林业服务的标志予以恢复。</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34</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对破坏或者擅自改变基本农田保护区标志的处罚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承接部门：县自然资源和林业局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1.做出立案决定；</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2.调查取证；</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3.按照相关法律法规予以处罚；</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4.对破坏或者擅自改变的基本农田保护区标志予以恢复。</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35</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对单位或者个人，伪造、变卖、买卖、租借采伐许可证的行政处罚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承接部门：县自然资源和林业局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1.做出立案决定；</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2.调查取证；</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3.按照《中华人民共和国森林法》规定和参照《吉林省林草行政处罚裁量权实施办法》予以处罚；</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4.没收证件和违法所得。</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36</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印发村牧业用地使用证</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承接部门：县自然资源和林业局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1.确定牧业用地；</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2.县自然资源和林业局审核牧业用地；</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3.上报材料，县人民政府审核牧业用地使用权；</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4.县自然资源和林业局印制发放牧业用地使用证。</w:t>
            </w:r>
          </w:p>
        </w:tc>
      </w:tr>
      <w:tr>
        <w:tblPrEx>
          <w:tblCellMar>
            <w:top w:w="0" w:type="dxa"/>
            <w:left w:w="108" w:type="dxa"/>
            <w:bottom w:w="0" w:type="dxa"/>
            <w:right w:w="108" w:type="dxa"/>
          </w:tblCellMar>
        </w:tblPrEx>
        <w:trPr>
          <w:cantSplit/>
          <w:trHeight w:val="480" w:hRule="atLeast"/>
        </w:trPr>
        <w:tc>
          <w:tcPr>
            <w:tcW w:w="13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五、生态环保（14项）</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37</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对产生、收集、贮存、运输、利用、处置固体废物的单位未依法及时公开固体废物污染环境防治信息的处罚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承接部门：市生态环境局长白县分局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1.认定行为性质；</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2.确定执法主体；</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3.执行处罚措施。</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38</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未经同意在江河、湖泊新建、改建或者扩大排污口的处罚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承接部门：市生态环境局长白县分局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1.认定行为性质；</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2.确定执法主体；</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3.执行处罚措施。</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39</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对从事畜禽规模养殖未及时收集、贮存、利用或者处置养殖过程中产生的畜禽粪污等固体废物的处罚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承接部门：市生态环境局长白县分局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1.认定行为性质；</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2.确定执法主体；</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3.执行处罚措施。</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40</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对施工单位的建筑土方、工程渣土、建筑垃圾未及时清运，或者未采用密闭式防尘网遮盖的行政处罚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承接部门：县住房和城乡建设局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1.接到群众举报或现场检查发现施工单位未及时清运施工过程中产生的建筑垃圾;</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2.对施工单位下达《限期改正通知书》，并限期整改，整改完成后报主管部门复查;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3.逾期未改正的，按照《城市建筑垃圾管理规定》对施工单位进行处罚。</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41</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对运输煤炭、垃圾、渣土、砂石、土方、灰浆等散装、流体物料的车辆，未采取密闭或者其他措施防止物料遗撒的行政处罚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承接部门：县住房和城乡建设局、县交通运输局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县住房和城乡建设局：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1.接受举报或巡查中发现，城市建成区范围内未密闭或者其他措施防止物料遗撒的车辆；</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2.对违规运行车辆进行当场或限期整改；</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3.对逾期未改正的，或情节严重者，按照《中华人民共和国大气污染防治法》进行处罚；</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县交通运输局：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1.接受举报或巡查中发现，国道、省道、县道公路范围内未密闭或者其他措施防止物料遗撒的车辆；</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2.对违规运行车辆进行当场或限期整改；</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3.对逾期未改正的，或情节严重者，按照《中华人民共和国大气污染防治法》进行处罚。</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42</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对农业投入品生产者、销售者、使用者未按照规定及时回收肥料等农业投入品的包装废弃物、农用薄膜，或者未按照规定及时回收农药包装废弃物交由专门的机构或者组织进行无害化处理的行政处罚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1.受理问题线索；</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2.现场核实、调查、取证；</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3.执行行政处罚。</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43</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使用炸鱼、毒鱼、电鱼等破坏渔业资源方法进行捕捞的，违反关于禁渔区、禁渔期的规定进行捕捞的或者使用禁用的渔具、捕捞方法和小于最小网目尺寸的网具进行捕捞或者渔获物中幼鱼超过规定比例的行政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1.受理问题线索；</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2.现场核实、调查、取证；</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3.执行行政处罚。</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44</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对随意倾倒、抛撒、堆放或者焚烧生活垃圾的行政处罚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承接部门：市生态环境局长白县分局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1.认定行为性质；</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2.确定执法主体；</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3.执行处罚措施。</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45</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代为恢复植被和林业生产条件或代为补种树木</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承接部门：县自然资源和林业局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1.明确需要承担恢复或补种责任的单位或个人；</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2.对受损区域进行详细的实地勘查，记录受损情况；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3.根据勘查结果，结合当地的自然条件和林业发展规划，制定具体的恢复或补种方案；</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4.按照方案要求，对受损的林地进行整理，如平整土地、改良土壤等，恢复其适宜林业生产的条件；</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5.根据选定的植被种类和种植方式，进行树苗种植或草种播撒，确保种植质量和密度符合标准；</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6.定期对补种的树木和植被进行浇水、施肥、除草、病虫害防治等养护工作，提高成活率和生长质量；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7.在恢复过程中，定期对工作进展和效果进行检查，及时发现问题并采取整改措施。</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46</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对森林资源的保护、修复、利用、更新等的监督检查</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承接部门：县自然资源和林业局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1.明确检查的范围、内容、方式、时间安排等，确定检查人员和分工；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2.收集造林更新的相关设计方案、基础数据；</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3.检查台账资料是否完善，检查属地是否进行采伐迹地更新造林验收等；</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通过现地查看，检查造林更新是否按审批要求完成任务，包括造林地块、树种、造林方式等是否符合设计；核实更新造林成活率、保存率是否达标；测量实际造林更新面积是否与申报一致；查看造林质量，苗木生长状况、整地质量、抚育管理措施等是否到位；</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5.对检查中发现的问题进行梳理和认定向，被检查单位或个人反馈问题，提出整改要求和期限。对整改情况进行跟踪检查，确保问题得到有效整改,对整改不到位的，依法依规进行处理。</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47</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对开办生产建设项目或者从事其他生产建设活动，按规定编制水土保持方案的监督检查</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承接部门：县水利局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1.水利局受理群众举报和所在乡镇移交违（规）法行为线索，对违法地点进行现场核实；</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2.水利局初步认定违法事实后，水利局河湖科下发限期整改通知书，责令停止违法行为、限期补办手续；</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3.水利局对逾期不补办手续的行为进行处罚；</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4.水利局将违法处理结果通报相关乡镇人民政府。</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乡镇发现违法行为及时向部门移交线索。</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48</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开展林业有害生物监测、检疫和防治</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承接部门：县自然资源和林业局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1.组织、指导开展林业有害生物监测、检疫和防治；</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2.组织开展各乡镇人民政府林业有害生物调查资料的统计和上报；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3.组织、指导开展各乡镇人民政府松材线虫病疫情监测、监管平台春季和秋季普查、美国白蛾监测等重大林业有害生物监测工作。</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49</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外来入侵物种普查</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1.组织人员开展外来入侵物种普查；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2.调查结果上报、存档。</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50</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外来入侵物种监督管理</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1.组织人员开展外来入侵物种监管；</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2.监管结果上报、存档。</w:t>
            </w:r>
          </w:p>
        </w:tc>
      </w:tr>
      <w:tr>
        <w:tblPrEx>
          <w:tblCellMar>
            <w:top w:w="0" w:type="dxa"/>
            <w:left w:w="108" w:type="dxa"/>
            <w:bottom w:w="0" w:type="dxa"/>
            <w:right w:w="108" w:type="dxa"/>
          </w:tblCellMar>
        </w:tblPrEx>
        <w:trPr>
          <w:cantSplit/>
          <w:trHeight w:val="480" w:hRule="atLeast"/>
        </w:trPr>
        <w:tc>
          <w:tcPr>
            <w:tcW w:w="13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六、城乡建设（9项）</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51</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对临时建筑物、构筑物和其他设施限期拆除期满仍不拆除的强制拆除</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承接部门：县自然资源和林业局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1.对国有建设用地内临时建筑物、构筑物和其他设施拒不停止建设和拆除的，做出责令停止建设或者限期拆除决定；</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2.在做出责令停止建设或者限期拆除决定到期后，当事人仍不停止建设或者逾期不拆除的，由县人民政府责成相关部门进行拆除。</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52</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建设工程各类合同及相关备案</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承接部门：县住房和城乡建设局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工作方式：法律法规条款已失效，不再开展此项工作。</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53</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对建设单位或者个人未经批准进行临时建设、未按照批准内容进行临时建设，临时建筑物、构筑物超过批准权限不拆除的处罚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承接部门：县自然资源和林业局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1.对违法建筑进行调查，查清违法建设的基本情况。同时，收集相关证据，如现场照片、当事人陈述等;</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2.根据工程中标价格、工程承包合同价格等因素确定违法建设工程造价。如果存在异议，可以通过聘请相关专业评估;</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3.根据《中华人民共和国城乡规划法》的相关规定，对违法行为进行处罚。</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54</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对侵占、毁坏水工程及堤防、护岸等有关设施，毁坏防汛、水文监测、水文地质监测设施等行为的处罚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承接部门：县水利局、省水利厅</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县水利局：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1.接到举报或相关部门的通报后承办人组织2名以上水政监察员会同相关部门进行调查取证，根据现场情况，听取当事人辩解陈述并作记录；</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2.审查案件调查报告，对案件违法事实、证据、调查取证程序、法律适用、处罚种类和幅度、当事人陈述和申辩理由等方面进进审查，提出处理意见；</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3.制作行政处罚决定书，载明行政处罚告知、当事人陈述申辩或者听证情况等内容；                               4.行政处罚决定书按法律规定的方式送达当事人；                                                           5.依照生效的行政处罚决定，执行责令改正、没收违法所得、罚款等处罚项目；                                     6.其他法律法规规章规定应履行的责任。</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省水利厅：</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1.县水文勘测大队接到举报或相关部门的通报后承办人进行调查取证；</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2.将调查取证情况上报省水利厅；</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3.水利厅相关部门依法作出处罚决定。</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55</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对建筑垃圾储运消纳场收纳工业垃圾、生活垃圾和有毒有害垃圾的处罚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承接部门：县住房和城乡建设局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1.接受举报或巡查中发现建筑垃圾储运消纳场收纳工业垃圾、生活垃圾和有毒有害垃圾；</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2.对建筑垃圾储运消纳场下达《限期改正通知书》，并限期整改，整改完成后报主管部门复查；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3.逾期未改正的，按照《城市建筑垃圾管理规定》对施工单位进行处罚。</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56</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对未经水行政主管部门批准，占用农业灌溉水源、灌排工程设施的行政处罚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承接部门：县水利局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1.接受举报或工程所在乡镇、农业农村局移交的未经水行政主管部门批准，占用农业灌溉水源、灌排工程设施的违法（规）行为；</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2.组织人员现场核实；</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3.按照《吉林省农村水利管理条例》第四十一条进行处罚；</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4.涉及小型农田水利工程的案件处罚结果通报农业农村局。</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57</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开展农村住房安全鉴定评定工作</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承接部门：县住房和城乡建设局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1.由住建局、乡镇政府，组织专业技术人员、村干部等成立农村住房安全鉴定评定工作小组；</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2.获取农村住房的相关资料，如房屋建造年代、结构类型、建筑面积等；</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3.对房屋的整体外观进行观察，检查房屋是否有明显的倾斜、裂缝、变形等情况。重点检查墙体、屋面、基础等部位；</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4.依据国家和地方相关的农村住房安全鉴定技术标准，结合现场调查和检测结果，对房屋的安全状况进行综合评定。评定等级一般分为 A、B、C、D 四级；</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5.将房屋安全鉴定评定结果在村庄显著位置进行公示。公示内容包括房屋产权人姓名、房屋地址、评定等级等。同时，设立意见反馈渠道，接受村民的监督和意见反馈；</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6.《农村住房安全鉴定报告》等相关资料进行整理归档，建立农村住房安全鉴定档案。</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58</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自建房安全等级鉴定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承接部门：县住房和城乡建设局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1.由住建局、乡镇政府及第三方鉴定机构、村干部等成立自建房安全等级鉴定工作小组；</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2.获取农村住房的相关资料，如房屋建造年代、结构类型、建筑面积等；</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3.对房屋的整体外观进行观察，检查房屋是否有明显的倾斜、裂缝、变形等情况。重点检查墙体、屋面、基础等部位；</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4.依据国家和地方相关的农村住房安全鉴定技术标准，结合现场调查和检测结果，对房屋的安全状况进行综合评定。评定等级一般分为 A、B、C、D 四级；</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5将房屋安全鉴定评定结果在村庄显著位置进行公示。公示内容包括房屋产权人姓名、房屋地址、评定等级等。同时，设立意见反馈渠道，接受村民的监督和意见反馈；</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6.《农村住房安全鉴定报告》等相关资料进行整理归档，建立农村住房安全鉴定档案。</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59</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房屋安全评估</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承接部门：县住房和城乡建设局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1.由房屋产权人（使用人）向乡镇政府提出申请房屋安全评估，并提交房屋基础资料，如房屋建造年代、结构类型、建筑面积等；</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2.由住建局组织乡镇政府组织专业技术人员和镇村级乡建工作人员进行现场调查。对房屋的整体外观进行观察，检查房屋是否有明显的倾斜、裂缝、变形等情况。重点检查墙体、屋面、基础等部位；</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3.依据国家和地方相关的农村住房安全鉴定技术标准，结合现场调查和检测结果，对房屋的安全状况进行综合评定。评定等级一般分为 A、B、C、D 四级；</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4.告知产权人（使用人）房屋安全等级及整治方法，并出具《农村住房安全评定报告》。</w:t>
            </w:r>
          </w:p>
        </w:tc>
      </w:tr>
      <w:tr>
        <w:tblPrEx>
          <w:tblCellMar>
            <w:top w:w="0" w:type="dxa"/>
            <w:left w:w="108" w:type="dxa"/>
            <w:bottom w:w="0" w:type="dxa"/>
            <w:right w:w="108" w:type="dxa"/>
          </w:tblCellMar>
        </w:tblPrEx>
        <w:trPr>
          <w:cantSplit/>
          <w:trHeight w:val="480" w:hRule="atLeast"/>
        </w:trPr>
        <w:tc>
          <w:tcPr>
            <w:tcW w:w="13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七、交通运输（5项）</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60</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对损坏、移动、涂改公路附属设施或者损坏、挪动建筑控制区的标桩、界桩，可能危及公路安全的行政处罚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承接部门：县交通运输局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1.发现国道、省道、县道公路有违法行为；</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2.交通执法部门立案调查；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3.经调查违法行为属实；</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4.执行行政处罚。</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61</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对将公路作为试车场地的行政处罚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承接部门：县交通运输局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1.发现国道、省道、县道公路有违法行为；</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2.交通执法部门立案调查；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3.经调查违法行为属实；</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4.执行行政处罚。</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62</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对使用拖拉机、联合收割机违反规定载人的行政处罚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1.县农业农村局联合县公安局交通管理大队组成工作专班；</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2.对农村地区拖拉机、联合收割机违反规定载人开展突击联合检查；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3.交警部门在农村重点道路设置执勤点，对发现的上述车辆违法规定载人问题，按照《中华人民共和国道路交通安全法》及相关法律法规规定开展处罚工作。</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63</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对普通国省干线用地范围内摆摊设点、堆放物品、倾倒垃圾、设置障碍、挖沟引水、利用公路边沟排放污物等造成公路路面损坏、污染或者影响公路畅通等违法行为的查处</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承接部门：县交通运输局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1.发现国道、省道、县道公路有违法行为；</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2.交通执法部门立案调查；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3.经调查违法行为属实；</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4.执行行政处罚。</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64</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对车辆装载物触地拖行、掉落、遗洒或者飘散，造成公路路面损坏、污染的行为的行政处罚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承接部门：县交通运输局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1.发现国道、省道、县道公路有违法行为；</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2.交通执法部门立案调查；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3.经调查违法行为属实；</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4.执行行政处罚。</w:t>
            </w:r>
          </w:p>
        </w:tc>
      </w:tr>
      <w:tr>
        <w:tblPrEx>
          <w:tblCellMar>
            <w:top w:w="0" w:type="dxa"/>
            <w:left w:w="108" w:type="dxa"/>
            <w:bottom w:w="0" w:type="dxa"/>
            <w:right w:w="108" w:type="dxa"/>
          </w:tblCellMar>
        </w:tblPrEx>
        <w:trPr>
          <w:cantSplit/>
          <w:trHeight w:val="480" w:hRule="atLeast"/>
        </w:trPr>
        <w:tc>
          <w:tcPr>
            <w:tcW w:w="13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八、卫生健康（8项）</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65</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开展计划生育纪念日、会员日服务活动</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承接部门：县卫生健康和医疗保障局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1.制定工作方案，下发活动通知；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2.乡镇开展活动，上报工作总结。</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66</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办理《流动人口婚育证明》</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承接部门：县卫生健康和医疗保障局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工作方式：法律法规条款已失效，不再开展此项工作。</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67</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社会抚养费征收</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承接部门：县卫生健康和医疗保障局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工作方式：法律法规条款已失效，不再开展此项工作。</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68</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再生育审批</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承接部门：县卫生健康和医疗保障局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工作方式：根据优化生育政策要求，不再开展此项工作。</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69</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追回超领、冒领计划生育各类扶助资金、补助资金</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承接部门：县卫生健康和医疗保障局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1.接受举报或检查过程中发现有超领、冒领计划生育各类扶助资金的人员时，与所属乡镇进行信息核实；</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2.核实追缴数额，通知本人及家属限期返还超领、冒领资金；</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3.确认追缴资金返还县卫生健康和医疗保障局账户，由县卫生健康和医疗保障局返还县财政。</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70</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计划生育家庭特别扶助金审核确认</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承接部门：县卫生健康和医疗保障局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1.卫生健康和医疗保障局汇总乡镇上报信息；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2.卫生健康和医疗保障局向县财政申请资金；</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3.卫生健康和医疗保障局按惠农平台要求审核确认统一发放。</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乡镇按季度上报应发放人数、名单、金额及银行卡信息。</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71</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农村部分计划生育家庭奖励扶助金审核确认</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承接部门：县卫生健康和医疗保障局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1.卫生健康和医疗保障局汇总乡镇上报信息；</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2.卫生健康和医疗保障局向县财政申请资金；</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3.卫生健康和医疗保障局按惠农平台要求审核确认统一发放。</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乡镇按季度上报应发放人数、名单、金额及银行卡信息。</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72</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免费向已婚育龄夫妻提供避孕药具</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承接部门：县卫生健康和医疗保障局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1.设立97个人工免费发放点和2个自动发放点，提供免费避孕药具；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2.组织各乡镇卫生院领取免费避孕药具并发放；</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3.收集药具调拨、发放、放置信息并上报。</w:t>
            </w:r>
          </w:p>
        </w:tc>
      </w:tr>
      <w:tr>
        <w:tblPrEx>
          <w:tblCellMar>
            <w:top w:w="0" w:type="dxa"/>
            <w:left w:w="108" w:type="dxa"/>
            <w:bottom w:w="0" w:type="dxa"/>
            <w:right w:w="108" w:type="dxa"/>
          </w:tblCellMar>
        </w:tblPrEx>
        <w:trPr>
          <w:cantSplit/>
          <w:trHeight w:val="480" w:hRule="atLeast"/>
        </w:trPr>
        <w:tc>
          <w:tcPr>
            <w:tcW w:w="13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九、应急管理及消防（14项）</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73</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小型水库安全监督和防汛监督管理</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承接部门：县水利局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1.到水库现场进行检查，汛期监督小型水库防汛情况，采取水库日报汛，自动监测系统监督；</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2.根据天气预报情况，及时通知水库做好汛期巡查，对存在安全运行问题的单位下达整改通知并督促整改；</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3.水库水位超汛限时上报防汛指挥部，由水利局防汛专家组会商确定是否泄洪及泄洪时间。</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74</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编制总体应急预案</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承接部门：县应急管理局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1.当总体应急预案效力终止或需更新调整时通过招投标的方式确定预案制作第三方公司；</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2.制作完成后，在政府官方网站进行公示。</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75</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对烟花爆竹经营企业的监督检查</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承接部门：县应急管理局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1.按照年初制定的执法检查计划，定期对烟花爆竹经营企业开展执法检查；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2.由执法工作人员对企业现场、内业材料等依据《中华人民共和国安全生产法》、《烟花爆竹经营管理条例》等法律法规进行检查，并下达检查文书，要求督促相关企业在规定的时间内完成整改；</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3.对春节期间烟花爆竹临时摊床进行动态巡查，发现问题及时要求经营者立即进行问题整改；</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4.在春节期间各乡镇应急办对本乡镇的烟花爆竹临时摊床进行日常巡查，发现问题隐患及时要求整改。</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76</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建立微型消防站</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承接部门：县消防大队</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1.根据上级工作方案部署要求，推进建立微型消防站工作；</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2.指导建设单位完成微型消防站建设。</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77</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对非煤矿山企业、尾矿库日常安全生产监督检查</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承接部门：县应急管理局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1.根据相关法规和实际情况，制定年度或季度监督检查计划，明确检查的企业名单、时间安排、重点内容等，必要时邀请相关专家，提前收集被检查企业的基本信息了解企业安全生产状况；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2.检查人员到达企业后，主动出示执法证件，表明来意，听取企业安全生产工作的情况汇报，查阅企业安全生产相关资料，深入现场查看是否存在安全隐患；</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3.对于检查中发现的一般安全隐患，责令企业现场整改到位或者下达责令限期整改指令书，明确整改内容、整改期限和整改要求；发现企业存在违法违规行为，依法立案查处；</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4.企业在整改期限届满后，向应急管理局提出复查申请。应急管理局组织人员对企业整改情况进行复查，检查隐患是否整改到位；</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5.定期对监督检查工作进行总结分析找出存在的共性问题和薄弱环节，提出改进措施和建议。将检查记录、执法文书等整理归档，妥善保存，以备查阅。</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78</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对生产经营单位消除重大事故隐患的监督检查</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承接部门：县应急管理局和各行管部门</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1.对非煤矿山、危险化学品和烟花爆竹企业自查上报、监管执法查处、监察发现移交的重大事故隐患实施跟踪督办；</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2.县应急管理局查明非煤矿山、危险化学品和烟花爆竹企业重大事故隐患产生的经过和原因，认定有关责任方的责任，明确整改措施，依法提出对责任单位和责任人的处理建议；</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3.非煤矿山、危险化学品和烟花爆竹企业按照“五落实”制定整改方案，整改完成后向县应急管理局提出复查申请；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县应急管理局组织人员对非煤矿山、危险化学品和烟花爆竹企业整改情况进行复查，检查隐患是否整改到位。对整改完成的销号；对未按要求完成整改的依照有关规定对企业主要负责人进行约谈；对重大事故隐患整改不及时、仍冒险作业的，依法责令停产整顿，并移送相关部门依法暂扣证照；</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5.各行管部门根据《长白县管行业必须管安全、管业务必须管安全、管生产经营必须管安全实施细则》负责本行业领域的生产经营单位消除重大事故隐患情况进行监督检查。</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79</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对小型露天采石场安全生产情况、事故隐患排查情况的监督检查</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承接部门：县应急管理局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1.根据相关法规和实际情况，制定年度或季度监督检查计划，明确检查的企业名单、时间安排、重点内容等，必要时邀请相关专家，提前收集被检查企业的基本信息了解企业安全生产状况；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2.检查人员到达企业后，主动出示执法证件，表明来意，听取企业安全生产工作的情况汇报，查阅企业安全生产相关资料，深入现场查看是否存在安全隐患；</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3.对于检查中发现的一般安全隐患，责令企业现场整改到位或者下达责令限期整改指令书，明确整改内容、整改期限和整改要求；发现企业存在违法违规行为，依法立案查处；</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4.企业在整改期限届满后，向应急管理局提出复查申请。应急管理局组织人员对企业整改情况进行复查，检查隐患是否整改到位；</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5.定期对监督检查工作进行总结分析找出存在的共性问题和薄弱环节，提出改进措施和建议。将检查记录、执法文书等整理归档，妥善保存，以备查阅。</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80</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烟花爆竹经营（零售）许可证换证现场核查</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承接部门：县应急管理局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依据《烟花爆竹经营许可实施办法》由执法人员对烟花爆竹零售企业进行现场核查。</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81</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对存在重大危险源的危险化学品单位的监督检查</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承接部门：县应急管理局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1.制定对存在重大危险源的危险化学品单位的监督检查计划、方案；</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2.组织执法人员开展检查；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3.开具检查文书，下达整改指令书；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4.隐患整改验收。</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82</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对粉尘涉爆企业实施安全监督管理</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承接部门：县应急管理局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1.按照制定的执法检查计划，对粉尘涉爆企业开展执法检查；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2.组织执法人员对企业现场、内页资料进行检查；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根据检查结果，依据相关法律法规，向企业下达执法文书，要求企业在规定的时限内完成整改；对于存在严重违法行为或拒不整改隐患的企业，严格按照法律规定进行立案查处，实施罚款、停产停业整顿、吊销相关许可证等行政处罚措施；</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4.整改期限到期后，及时对企业进行复查，核实问题隐患的整改情况。</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83</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企业应急预案备案材料初审</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承接部门：县应急管理局和各行管部门</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1.非煤矿山、危险化学品和烟花爆竹生产经营单位向县应急管理局提交应急预案备案申报表、应急预案评审意见以及评审有关资料、应急预案、风险评估结果和应急资源调查清单等材料；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2.县应急管理局负责接收非煤矿山、危险化学品和烟花爆竹企业申报材料，并对材料进行核对。材料不全的，一次性告知生产经营单位需要补齐的材料；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3.县应急管理局审查非煤矿山、危险化学品和烟花爆竹企业的申报材料是否齐全、符合规定格式，应急预案的编制是否符合相关导则和标准要求，内容是否完整，要素是否齐全；</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经审查，材料齐全、符合备案条件的非煤矿山、危险化学品和烟花爆竹企业，县应急管理局予以备案，并出具应急预案备案登记表，通过备案的应急预案交由应急管理局相关部门负责存档。对于不符合备案条件的，书面告知生产经营单位不予备案的理由和依据，要求其限期整改，重新提交备案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5.各行管部门根据《突发事件应急预案管理办法》负责本行业领域企业应急预案备案材料初审。</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84</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开展加油站危险化学品、设备设施安全检查</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承接部门：县应急管理局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1.按照年初制定的执法检查计划，定期对加油站危险化学品、设备设施安全开展执法检查；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2.执法工作人员对企业现场、内业材料等依据《中华人民共和国安全生产法》、《危险化学品管理条例》等法律法规进行检查，并下达检查文书，要求督促相关企业在规定的时间内完成整改。</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85</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生产经营单位生产安全事故应急预案备案</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承接部门：县应急管理局和各行管部门</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1.非煤矿山、危险化学品和烟花爆竹生产经营单位向县应急管理局提交应急预案备案申报表、应急预案评审意见以及评审有关资料、应急预案、风险评估结果和应急资源调查清单等材料；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2.县应急管理局负责接收非煤矿山、危险化学品和烟花爆竹生产经营单位申报材料，并对材料进行核对。材料不全的，一次性告知生产经营单位需要补齐的材料；</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3.县应急管理局审查非煤矿山、危险化学品和烟花爆竹生产经营单位申报材料是否齐全、符合规定格式，应急预案的编制是否符合相关导则和标准要求，内容是否完整，要素是否齐全；</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经审查，材料齐全、符合备案条件的非煤矿山、危险化学品和烟花爆竹生产经营单位，县应急管理局予以备案，并出具应急预案备案登记表，通过备案的应急预案交由应急管理局相关部门负责存档。对于不符合备案条件的，书面告知生产经营单位不予备案的理由和依据，要求其限期整改，重新提交备案申请；</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5.各行管部门根据《突发事件应急预案管理办法》负责本行业领域生产经营单位生产安全事故应急预案备案。</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86</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对非药品类易制毒化学品生产、经营的监督检查</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承接部门：县应急管理局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1.制定对非药品类易制毒化学品生产、经营企业的监督检查计划、方案；</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2.组织执法人员开展检查；</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3.开具检查文书，下达整改指令书；</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4.隐患整改验收。</w:t>
            </w:r>
          </w:p>
        </w:tc>
      </w:tr>
      <w:tr>
        <w:tblPrEx>
          <w:tblCellMar>
            <w:top w:w="0" w:type="dxa"/>
            <w:left w:w="108" w:type="dxa"/>
            <w:bottom w:w="0" w:type="dxa"/>
            <w:right w:w="108" w:type="dxa"/>
          </w:tblCellMar>
        </w:tblPrEx>
        <w:trPr>
          <w:cantSplit/>
          <w:trHeight w:val="480" w:hRule="atLeast"/>
        </w:trPr>
        <w:tc>
          <w:tcPr>
            <w:tcW w:w="139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before="0" w:beforeLines="0" w:after="0" w:afterLines="0"/>
              <w:jc w:val="left"/>
              <w:textAlignment w:val="auto"/>
              <w:rPr>
                <w:rFonts w:hint="eastAsia" w:ascii="Times New Roman" w:hAnsi="方正公文黑体" w:eastAsia="方正公文黑体"/>
                <w:szCs w:val="21"/>
              </w:rPr>
            </w:pPr>
            <w:r>
              <w:rPr>
                <w:rStyle w:val="16"/>
                <w:rFonts w:hint="eastAsia" w:ascii="Times New Roman" w:hAnsi="方正公文黑体" w:eastAsia="方正公文黑体"/>
                <w:color w:val="auto"/>
                <w:lang w:bidi="ar"/>
              </w:rPr>
              <w:t>十、市场监管（3项）</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87</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特种设备专项整治</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承接部门：县市场监督管理局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1.确认检查项目；</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2.进行检查并填写检查记录；</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3.如存在违规情况，下达《特种设备安全监察指令书》责令整改，发现严重隐患则依法查封或扣押；</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4.检查对象按要求整改并上报整改情况；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5.实地复查整改情况并撰写整改报告。</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88</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特种设备安全监督检查</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承接部门：县市场监督管理局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1.确认检查项目；</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2.进行检查并填写检查记录；</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3.如存在违规情况，下达《特种设备安全监察指令书》责令整改，发现严重隐患则依法查封或扣押；</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4.检查对象按要求整改并上报整改情况；</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5.实地复查整改情况并撰写整改报告。</w:t>
            </w:r>
          </w:p>
        </w:tc>
      </w:tr>
      <w:tr>
        <w:tblPrEx>
          <w:tblCellMar>
            <w:top w:w="0" w:type="dxa"/>
            <w:left w:w="108" w:type="dxa"/>
            <w:bottom w:w="0" w:type="dxa"/>
            <w:right w:w="108" w:type="dxa"/>
          </w:tblCellMar>
        </w:tblPrEx>
        <w:trPr>
          <w:cantSplit/>
          <w:trHeight w:val="760" w:hRule="atLeast"/>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jc w:val="center"/>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89</w:t>
            </w:r>
          </w:p>
        </w:tc>
        <w:tc>
          <w:tcPr>
            <w:tcW w:w="499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对销售的种子应当包装而没有包装的行政处罚</w:t>
            </w:r>
          </w:p>
        </w:tc>
        <w:tc>
          <w:tcPr>
            <w:tcW w:w="832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kinsoku/>
              <w:spacing w:before="0" w:beforeLines="0" w:after="0" w:afterLines="0"/>
              <w:textAlignment w:val="auto"/>
              <w:rPr>
                <w:rFonts w:hint="eastAsia" w:ascii="Times New Roman" w:hAnsi="方正公文仿宋" w:eastAsia="方正公文仿宋"/>
                <w:szCs w:val="21"/>
              </w:rPr>
            </w:pPr>
            <w:r>
              <w:rPr>
                <w:rFonts w:hint="eastAsia" w:ascii="Times New Roman" w:hAnsi="方正公文仿宋" w:eastAsia="方正公文仿宋"/>
                <w:kern w:val="0"/>
                <w:szCs w:val="21"/>
                <w:lang w:bidi="ar"/>
              </w:rPr>
              <w:t>承接部门：县农业农村局、县自然资源和林业局</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工作方式：</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1.受理问题线索；</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2.现场核实、调查、取证；</w:t>
            </w:r>
            <w:r>
              <w:rPr>
                <w:rFonts w:hint="eastAsia" w:ascii="Times New Roman" w:hAnsi="方正公文仿宋" w:eastAsia="方正公文仿宋"/>
                <w:kern w:val="0"/>
                <w:szCs w:val="21"/>
                <w:lang w:bidi="ar"/>
              </w:rPr>
              <w:br w:type="textWrapping"/>
            </w:r>
            <w:r>
              <w:rPr>
                <w:rFonts w:hint="eastAsia" w:ascii="Times New Roman" w:hAnsi="方正公文仿宋" w:eastAsia="方正公文仿宋"/>
                <w:kern w:val="0"/>
                <w:szCs w:val="21"/>
                <w:lang w:bidi="ar"/>
              </w:rPr>
              <w:t>3.执行处罚措施。</w:t>
            </w:r>
          </w:p>
        </w:tc>
      </w:tr>
    </w:tbl>
    <w:p>
      <w:pPr>
        <w:pStyle w:val="3"/>
        <w:spacing w:before="0" w:after="0" w:line="240" w:lineRule="auto"/>
        <w:jc w:val="center"/>
        <w:rPr>
          <w:rFonts w:ascii="Times New Roman" w:hAnsi="Times New Roman" w:eastAsia="方正小标宋_GBK" w:cs="Times New Roman"/>
          <w:color w:val="auto"/>
          <w:spacing w:val="7"/>
          <w:lang w:eastAsia="zh-CN"/>
        </w:rPr>
      </w:pPr>
    </w:p>
    <w:p>
      <w:pPr>
        <w:rPr>
          <w:rFonts w:ascii="Times New Roman" w:hAnsi="Times New Roman" w:cs="Times New Roman" w:eastAsiaTheme="minorEastAsia"/>
          <w:lang w:eastAsia="zh-CN"/>
        </w:rPr>
      </w:pPr>
    </w:p>
    <w:sectPr>
      <w:footerReference r:id="rId5" w:type="default"/>
      <w:pgSz w:w="16837" w:h="11905" w:orient="landscape"/>
      <w:pgMar w:top="1418" w:right="1418" w:bottom="1418" w:left="1418" w:header="851" w:footer="907" w:gutter="0"/>
      <w:pgNumType w:start="1"/>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公文仿宋">
    <w:altName w:val="仿宋"/>
    <w:panose1 w:val="02000000000000000000"/>
    <w:charset w:val="86"/>
    <w:family w:val="auto"/>
    <w:pitch w:val="default"/>
    <w:sig w:usb0="00000000" w:usb1="00000000" w:usb2="00000010" w:usb3="00000000" w:csb0="00040000" w:csb1="00000000"/>
  </w:font>
  <w:font w:name="等线 Light">
    <w:panose1 w:val="02010600030101010101"/>
    <w:charset w:val="86"/>
    <w:family w:val="auto"/>
    <w:pitch w:val="default"/>
    <w:sig w:usb0="A00002BF" w:usb1="38CF7CFA" w:usb2="00000016" w:usb3="00000000" w:csb0="0004000F" w:csb1="00000000"/>
  </w:font>
  <w:font w:name="方正公文小标宋">
    <w:altName w:val="宋体"/>
    <w:panose1 w:val="02000000000000000000"/>
    <w:charset w:val="86"/>
    <w:family w:val="auto"/>
    <w:pitch w:val="default"/>
    <w:sig w:usb0="00000000" w:usb1="00000000" w:usb2="0000001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公文黑体">
    <w:altName w:val="黑体"/>
    <w:panose1 w:val="02000000000000000000"/>
    <w:charset w:val="86"/>
    <w:family w:val="auto"/>
    <w:pitch w:val="default"/>
    <w:sig w:usb0="00000000" w:usb1="00000000" w:usb2="00000010" w:usb3="00000000" w:csb0="00040000" w:csb1="00000000"/>
  </w:font>
  <w:font w:name="方正仿宋简体">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right="360" w:firstLine="360"/>
      <w:rPr>
        <w:rFonts w:ascii="宋体" w:hAnsi="宋体" w:eastAsia="宋体"/>
      </w:rPr>
    </w:pPr>
    <w:r>
      <w:rPr>
        <w:lang w:eastAsia="zh-CN"/>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4935" cy="230505"/>
              <wp:effectExtent l="0" t="0" r="0" b="0"/>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114935" cy="230505"/>
                      </a:xfrm>
                      <a:prstGeom prst="rect">
                        <a:avLst/>
                      </a:prstGeom>
                      <a:noFill/>
                      <a:ln>
                        <a:noFill/>
                      </a:ln>
                    </wps:spPr>
                    <wps:txbx>
                      <w:txbxContent>
                        <w:p>
                          <w:pPr>
                            <w:pStyle w:val="5"/>
                            <w:rPr>
                              <w:rStyle w:val="10"/>
                              <w:rFonts w:ascii="宋体" w:hAnsi="宋体" w:eastAsia="宋体"/>
                              <w:sz w:val="28"/>
                              <w:szCs w:val="28"/>
                            </w:rPr>
                          </w:pP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8.15pt;width:9.05pt;mso-position-horizontal:center;mso-position-horizontal-relative:margin;mso-wrap-style:none;z-index:251659264;mso-width-relative:page;mso-height-relative:page;" filled="f" stroked="f" coordsize="21600,21600" o:gfxdata="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Dq9u+70QAA&#10;AAMBAAAPAAAAAAAAAAEAIAAAACIAAABkcnMvZG93bnJldi54bWxQSwECFAAUAAAACACHTuJAX9Rj&#10;c+wBAAC0AwAADgAAAAAAAAABACAAAAAgAQAAZHJzL2Uyb0RvYy54bWxQSwUGAAAAAAYABgBZAQAA&#10;fgUAAAAA&#10;">
              <v:fill on="f" focussize="0,0"/>
              <v:stroke on="f"/>
              <v:imagedata o:title=""/>
              <o:lock v:ext="edit" aspectratio="f"/>
              <v:textbox inset="0mm,0mm,0mm,0mm" style="mso-fit-shape-to-text:t;">
                <w:txbxContent>
                  <w:p>
                    <w:pPr>
                      <w:pStyle w:val="5"/>
                      <w:rPr>
                        <w:rStyle w:val="10"/>
                        <w:rFonts w:ascii="宋体" w:hAnsi="宋体" w:eastAsia="宋体"/>
                        <w:sz w:val="28"/>
                        <w:szCs w:val="28"/>
                      </w:rPr>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right="360" w:firstLine="360"/>
      <w:rPr>
        <w:rFonts w:ascii="宋体" w:hAnsi="宋体" w:eastAsia="宋体"/>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sz w:val="24"/>
                              <w:szCs w:val="24"/>
                            </w:rPr>
                          </w:pPr>
                          <w:r>
                            <w:rPr>
                              <w:sz w:val="24"/>
                              <w:szCs w:val="24"/>
                            </w:rPr>
                            <w:t xml:space="preserve">第 </w:t>
                          </w:r>
                          <w:r>
                            <w:rPr>
                              <w:sz w:val="24"/>
                              <w:szCs w:val="24"/>
                            </w:rPr>
                            <w:fldChar w:fldCharType="begin"/>
                          </w:r>
                          <w:r>
                            <w:rPr>
                              <w:sz w:val="24"/>
                              <w:szCs w:val="24"/>
                            </w:rPr>
                            <w:instrText xml:space="preserve"> PAGE  \* MERGEFORMAT </w:instrText>
                          </w:r>
                          <w:r>
                            <w:rPr>
                              <w:sz w:val="24"/>
                              <w:szCs w:val="24"/>
                            </w:rPr>
                            <w:fldChar w:fldCharType="separate"/>
                          </w:r>
                          <w:r>
                            <w:rPr>
                              <w:sz w:val="24"/>
                              <w:szCs w:val="24"/>
                            </w:rPr>
                            <w:t>1</w:t>
                          </w:r>
                          <w:r>
                            <w:rPr>
                              <w:sz w:val="24"/>
                              <w:szCs w:val="24"/>
                            </w:rPr>
                            <w:fldChar w:fldCharType="end"/>
                          </w:r>
                          <w:r>
                            <w:rPr>
                              <w:sz w:val="24"/>
                              <w:szCs w:val="24"/>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e54oUAgAAEwQAAA4AAABkcnMvZTJvRG9jLnhtbK1TTY7TMBTeI3EH&#10;y3uatBW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nr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wN7nihQCAAATBAAADgAAAAAAAAAB&#10;ACAAAAAfAQAAZHJzL2Uyb0RvYy54bWxQSwUGAAAAAAYABgBZAQAApQUAAAAA&#10;">
              <v:fill on="f" focussize="0,0"/>
              <v:stroke on="f" weight="0.5pt"/>
              <v:imagedata o:title=""/>
              <o:lock v:ext="edit" aspectratio="f"/>
              <v:textbox inset="0mm,0mm,0mm,0mm" style="mso-fit-shape-to-text:t;">
                <w:txbxContent>
                  <w:p>
                    <w:pPr>
                      <w:pStyle w:val="5"/>
                      <w:rPr>
                        <w:sz w:val="24"/>
                        <w:szCs w:val="24"/>
                      </w:rPr>
                    </w:pPr>
                    <w:r>
                      <w:rPr>
                        <w:sz w:val="24"/>
                        <w:szCs w:val="24"/>
                      </w:rPr>
                      <w:t xml:space="preserve">第 </w:t>
                    </w:r>
                    <w:r>
                      <w:rPr>
                        <w:sz w:val="24"/>
                        <w:szCs w:val="24"/>
                      </w:rPr>
                      <w:fldChar w:fldCharType="begin"/>
                    </w:r>
                    <w:r>
                      <w:rPr>
                        <w:sz w:val="24"/>
                        <w:szCs w:val="24"/>
                      </w:rPr>
                      <w:instrText xml:space="preserve"> PAGE  \* MERGEFORMAT </w:instrText>
                    </w:r>
                    <w:r>
                      <w:rPr>
                        <w:sz w:val="24"/>
                        <w:szCs w:val="24"/>
                      </w:rPr>
                      <w:fldChar w:fldCharType="separate"/>
                    </w:r>
                    <w:r>
                      <w:rPr>
                        <w:sz w:val="24"/>
                        <w:szCs w:val="24"/>
                      </w:rPr>
                      <w:t>1</w:t>
                    </w:r>
                    <w:r>
                      <w:rPr>
                        <w:sz w:val="24"/>
                        <w:szCs w:val="24"/>
                      </w:rPr>
                      <w:fldChar w:fldCharType="end"/>
                    </w:r>
                    <w:r>
                      <w:rPr>
                        <w:sz w:val="24"/>
                        <w:szCs w:val="24"/>
                      </w:rPr>
                      <w:t xml:space="preserve"> 页</w:t>
                    </w:r>
                  </w:p>
                </w:txbxContent>
              </v:textbox>
            </v:shape>
          </w:pict>
        </mc:Fallback>
      </mc:AlternateContent>
    </w:r>
    <w:r>
      <w:rPr>
        <w:lang w:eastAsia="zh-CN"/>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14935" cy="230505"/>
              <wp:effectExtent l="0" t="0" r="0" b="0"/>
              <wp:wrapNone/>
              <wp:docPr id="4" name="文本框 4"/>
              <wp:cNvGraphicFramePr/>
              <a:graphic xmlns:a="http://schemas.openxmlformats.org/drawingml/2006/main">
                <a:graphicData uri="http://schemas.microsoft.com/office/word/2010/wordprocessingShape">
                  <wps:wsp>
                    <wps:cNvSpPr txBox="1">
                      <a:spLocks noChangeArrowheads="1"/>
                    </wps:cNvSpPr>
                    <wps:spPr bwMode="auto">
                      <a:xfrm>
                        <a:off x="0" y="0"/>
                        <a:ext cx="114935" cy="230505"/>
                      </a:xfrm>
                      <a:prstGeom prst="rect">
                        <a:avLst/>
                      </a:prstGeom>
                      <a:noFill/>
                      <a:ln>
                        <a:noFill/>
                      </a:ln>
                    </wps:spPr>
                    <wps:txbx>
                      <w:txbxContent>
                        <w:p>
                          <w:pPr>
                            <w:pStyle w:val="5"/>
                            <w:rPr>
                              <w:rStyle w:val="10"/>
                              <w:rFonts w:ascii="宋体" w:hAnsi="宋体" w:eastAsia="宋体"/>
                              <w:sz w:val="28"/>
                              <w:szCs w:val="28"/>
                            </w:rPr>
                          </w:pP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8.15pt;width:9.05pt;mso-position-horizontal:center;mso-position-horizontal-relative:margin;mso-wrap-style:none;z-index:251660288;mso-width-relative:page;mso-height-relative:page;" filled="f" stroked="f" coordsize="21600,21600" o:gfxdata="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Dq9u+7&#10;0QAAAAMBAAAPAAAAAAAAAAEAIAAAACIAAABkcnMvZG93bnJldi54bWxQSwECFAAUAAAACACHTuJA&#10;hrJv4O8BAAC0AwAADgAAAAAAAAABACAAAAAgAQAAZHJzL2Uyb0RvYy54bWxQSwUGAAAAAAYABgBZ&#10;AQAAgQUAAAAA&#10;">
              <v:fill on="f" focussize="0,0"/>
              <v:stroke on="f"/>
              <v:imagedata o:title=""/>
              <o:lock v:ext="edit" aspectratio="f"/>
              <v:textbox inset="0mm,0mm,0mm,0mm" style="mso-fit-shape-to-text:t;">
                <w:txbxContent>
                  <w:p>
                    <w:pPr>
                      <w:pStyle w:val="5"/>
                      <w:rPr>
                        <w:rStyle w:val="10"/>
                        <w:rFonts w:ascii="宋体" w:hAnsi="宋体" w:eastAsia="宋体"/>
                        <w:sz w:val="28"/>
                        <w:szCs w:val="28"/>
                      </w:rPr>
                    </w:pP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rFonts w:ascii="方正仿宋简体" w:hAnsi="方正仿宋简体" w:eastAsia="方正仿宋简体" w:cs="方正仿宋简体"/>
        <w:sz w:val="24"/>
      </w:rPr>
    </w:pPr>
    <w:r>
      <w:rPr>
        <w:rFonts w:hint="eastAsia" w:ascii="方正仿宋简体" w:hAnsi="方正仿宋简体" w:eastAsia="方正仿宋简体" w:cs="方正仿宋简体"/>
        <w:sz w:val="24"/>
        <w:szCs w:val="24"/>
      </w:rPr>
      <w:t xml:space="preserve">第 </w:t>
    </w:r>
    <w:r>
      <w:rPr>
        <w:rFonts w:ascii="Times New Roman" w:hAnsi="Times New Roman" w:eastAsia="方正仿宋简体"/>
        <w:sz w:val="24"/>
      </w:rPr>
      <w:fldChar w:fldCharType="begin"/>
    </w:r>
    <w:r>
      <w:rPr>
        <w:rFonts w:ascii="Times New Roman" w:hAnsi="Times New Roman" w:eastAsia="方正仿宋简体" w:cs="Times New Roman"/>
        <w:sz w:val="24"/>
        <w:szCs w:val="24"/>
      </w:rPr>
      <w:instrText xml:space="preserve"> PAGE  \* MERGEFORMAT </w:instrText>
    </w:r>
    <w:r>
      <w:rPr>
        <w:rFonts w:ascii="Times New Roman" w:hAnsi="Times New Roman" w:eastAsia="方正仿宋简体"/>
        <w:sz w:val="24"/>
      </w:rPr>
      <w:fldChar w:fldCharType="separate"/>
    </w:r>
    <w:r>
      <w:rPr>
        <w:rFonts w:ascii="Times New Roman" w:hAnsi="Times New Roman" w:eastAsia="方正仿宋简体"/>
        <w:sz w:val="24"/>
      </w:rPr>
      <w:t>3</w:t>
    </w:r>
    <w:r>
      <w:rPr>
        <w:rFonts w:ascii="Times New Roman" w:hAnsi="Times New Roman" w:eastAsia="方正仿宋简体"/>
        <w:sz w:val="24"/>
      </w:rPr>
      <w:fldChar w:fldCharType="end"/>
    </w:r>
    <w:r>
      <w:rPr>
        <w:rFonts w:hint="eastAsia" w:ascii="方正仿宋简体" w:hAnsi="方正仿宋简体" w:eastAsia="方正仿宋简体" w:cs="方正仿宋简体"/>
        <w:sz w:val="24"/>
        <w:szCs w:val="24"/>
      </w:rPr>
      <w:t xml:space="preserve"> 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99329C"/>
    <w:multiLevelType w:val="multilevel"/>
    <w:tmpl w:val="1599329C"/>
    <w:lvl w:ilvl="0" w:tentative="0">
      <w:start w:val="1"/>
      <w:numFmt w:val="decimal"/>
      <w:pStyle w:val="7"/>
      <w:lvlText w:val="%1."/>
      <w:lvlJc w:val="left"/>
      <w:pPr>
        <w:ind w:left="420" w:hanging="420"/>
      </w:pPr>
      <w:rPr>
        <w:b w:val="0"/>
        <w:sz w:val="32"/>
        <w:szCs w:val="3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7B94"/>
    <w:rsid w:val="000047CA"/>
    <w:rsid w:val="0008314E"/>
    <w:rsid w:val="000A7693"/>
    <w:rsid w:val="001234A4"/>
    <w:rsid w:val="00130BD7"/>
    <w:rsid w:val="0014273D"/>
    <w:rsid w:val="001575AA"/>
    <w:rsid w:val="001810B0"/>
    <w:rsid w:val="00181AB4"/>
    <w:rsid w:val="001916F2"/>
    <w:rsid w:val="001F251B"/>
    <w:rsid w:val="001F3E9F"/>
    <w:rsid w:val="001F4027"/>
    <w:rsid w:val="00205B9E"/>
    <w:rsid w:val="0021240C"/>
    <w:rsid w:val="00245B02"/>
    <w:rsid w:val="00266573"/>
    <w:rsid w:val="002706D0"/>
    <w:rsid w:val="0027432A"/>
    <w:rsid w:val="00283325"/>
    <w:rsid w:val="002B1C9B"/>
    <w:rsid w:val="002C7D57"/>
    <w:rsid w:val="00323128"/>
    <w:rsid w:val="00332498"/>
    <w:rsid w:val="00384253"/>
    <w:rsid w:val="003A2345"/>
    <w:rsid w:val="003A4EAB"/>
    <w:rsid w:val="003A67C0"/>
    <w:rsid w:val="003B25EE"/>
    <w:rsid w:val="003B6491"/>
    <w:rsid w:val="0042770C"/>
    <w:rsid w:val="00436A05"/>
    <w:rsid w:val="0044787B"/>
    <w:rsid w:val="0045146E"/>
    <w:rsid w:val="00454E9C"/>
    <w:rsid w:val="00496286"/>
    <w:rsid w:val="004C1612"/>
    <w:rsid w:val="004C3B4B"/>
    <w:rsid w:val="00556418"/>
    <w:rsid w:val="0055782E"/>
    <w:rsid w:val="005D0A45"/>
    <w:rsid w:val="005F3046"/>
    <w:rsid w:val="005F4A95"/>
    <w:rsid w:val="00621683"/>
    <w:rsid w:val="00624E87"/>
    <w:rsid w:val="00635096"/>
    <w:rsid w:val="00670175"/>
    <w:rsid w:val="00691C2F"/>
    <w:rsid w:val="00693EEA"/>
    <w:rsid w:val="006E6CDB"/>
    <w:rsid w:val="006F07E4"/>
    <w:rsid w:val="00735E5D"/>
    <w:rsid w:val="007364DC"/>
    <w:rsid w:val="00745330"/>
    <w:rsid w:val="00757D6B"/>
    <w:rsid w:val="0076256B"/>
    <w:rsid w:val="00764690"/>
    <w:rsid w:val="007A235A"/>
    <w:rsid w:val="007C3F5A"/>
    <w:rsid w:val="0080494D"/>
    <w:rsid w:val="00821188"/>
    <w:rsid w:val="00846E5D"/>
    <w:rsid w:val="008C6462"/>
    <w:rsid w:val="008D168C"/>
    <w:rsid w:val="00944BE5"/>
    <w:rsid w:val="0097500B"/>
    <w:rsid w:val="0099530A"/>
    <w:rsid w:val="00997B94"/>
    <w:rsid w:val="009B6F21"/>
    <w:rsid w:val="009B71A6"/>
    <w:rsid w:val="009D1B6F"/>
    <w:rsid w:val="009F1C84"/>
    <w:rsid w:val="00A44440"/>
    <w:rsid w:val="00AE3464"/>
    <w:rsid w:val="00AF196D"/>
    <w:rsid w:val="00AF4537"/>
    <w:rsid w:val="00AF79DD"/>
    <w:rsid w:val="00B04B4F"/>
    <w:rsid w:val="00B226F7"/>
    <w:rsid w:val="00B356FE"/>
    <w:rsid w:val="00B376AB"/>
    <w:rsid w:val="00B60217"/>
    <w:rsid w:val="00B72EE5"/>
    <w:rsid w:val="00B7677F"/>
    <w:rsid w:val="00BD3ECB"/>
    <w:rsid w:val="00BE017C"/>
    <w:rsid w:val="00C00BFB"/>
    <w:rsid w:val="00C36F45"/>
    <w:rsid w:val="00C45044"/>
    <w:rsid w:val="00C745D6"/>
    <w:rsid w:val="00CA06A0"/>
    <w:rsid w:val="00CC0F16"/>
    <w:rsid w:val="00CC273C"/>
    <w:rsid w:val="00CD06DB"/>
    <w:rsid w:val="00CF3786"/>
    <w:rsid w:val="00D04434"/>
    <w:rsid w:val="00D071D3"/>
    <w:rsid w:val="00D23A49"/>
    <w:rsid w:val="00DA62D8"/>
    <w:rsid w:val="00DA70AC"/>
    <w:rsid w:val="00DE5D96"/>
    <w:rsid w:val="00E04FAF"/>
    <w:rsid w:val="00E22E8D"/>
    <w:rsid w:val="00E30699"/>
    <w:rsid w:val="00E34FB1"/>
    <w:rsid w:val="00E37CBB"/>
    <w:rsid w:val="00E56BCC"/>
    <w:rsid w:val="00EC1565"/>
    <w:rsid w:val="00F24092"/>
    <w:rsid w:val="00F37E44"/>
    <w:rsid w:val="00F417B3"/>
    <w:rsid w:val="00FA2D9F"/>
    <w:rsid w:val="00FA6C61"/>
    <w:rsid w:val="00FC2FBD"/>
    <w:rsid w:val="00FD6B5A"/>
    <w:rsid w:val="025A494C"/>
    <w:rsid w:val="0D420DB0"/>
    <w:rsid w:val="6A9513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textAlignment w:val="baseline"/>
    </w:pPr>
    <w:rPr>
      <w:rFonts w:ascii="Arial" w:hAnsi="Arial" w:eastAsia="Arial" w:cs="Arial"/>
      <w:snapToGrid w:val="0"/>
      <w:color w:val="000000"/>
      <w:kern w:val="0"/>
      <w:sz w:val="21"/>
      <w:szCs w:val="21"/>
      <w:lang w:val="en-US" w:eastAsia="en-US" w:bidi="ar-SA"/>
    </w:rPr>
  </w:style>
  <w:style w:type="paragraph" w:styleId="3">
    <w:name w:val="heading 1"/>
    <w:basedOn w:val="1"/>
    <w:next w:val="1"/>
    <w:link w:val="18"/>
    <w:qFormat/>
    <w:uiPriority w:val="9"/>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link w:val="12"/>
    <w:qFormat/>
    <w:uiPriority w:val="0"/>
    <w:pPr>
      <w:spacing w:before="240" w:after="60"/>
      <w:jc w:val="center"/>
      <w:outlineLvl w:val="0"/>
    </w:pPr>
    <w:rPr>
      <w:b/>
      <w:sz w:val="32"/>
    </w:rPr>
  </w:style>
  <w:style w:type="paragraph" w:styleId="4">
    <w:name w:val="Body Text"/>
    <w:basedOn w:val="1"/>
    <w:link w:val="13"/>
    <w:semiHidden/>
    <w:qFormat/>
    <w:uiPriority w:val="0"/>
  </w:style>
  <w:style w:type="paragraph" w:styleId="5">
    <w:name w:val="footer"/>
    <w:basedOn w:val="1"/>
    <w:link w:val="14"/>
    <w:qFormat/>
    <w:uiPriority w:val="0"/>
    <w:pPr>
      <w:tabs>
        <w:tab w:val="center" w:pos="4153"/>
        <w:tab w:val="right" w:pos="8306"/>
      </w:tabs>
    </w:pPr>
    <w:rPr>
      <w:sz w:val="18"/>
      <w:szCs w:val="18"/>
    </w:rPr>
  </w:style>
  <w:style w:type="paragraph" w:styleId="6">
    <w:name w:val="header"/>
    <w:basedOn w:val="1"/>
    <w:link w:val="20"/>
    <w:unhideWhenUsed/>
    <w:qFormat/>
    <w:uiPriority w:val="99"/>
    <w:pPr>
      <w:pBdr>
        <w:bottom w:val="single" w:color="auto" w:sz="6" w:space="1"/>
      </w:pBdr>
      <w:tabs>
        <w:tab w:val="center" w:pos="4153"/>
        <w:tab w:val="right" w:pos="8306"/>
      </w:tabs>
      <w:jc w:val="center"/>
    </w:pPr>
    <w:rPr>
      <w:sz w:val="18"/>
      <w:szCs w:val="18"/>
    </w:rPr>
  </w:style>
  <w:style w:type="paragraph" w:styleId="7">
    <w:name w:val="toc 1"/>
    <w:basedOn w:val="1"/>
    <w:next w:val="1"/>
    <w:unhideWhenUsed/>
    <w:qFormat/>
    <w:uiPriority w:val="39"/>
    <w:pPr>
      <w:numPr>
        <w:ilvl w:val="0"/>
        <w:numId w:val="1"/>
      </w:numPr>
    </w:pPr>
    <w:rPr>
      <w:rFonts w:ascii="Times New Roman" w:hAnsi="Times New Roman" w:eastAsia="方正公文仿宋"/>
      <w:sz w:val="32"/>
    </w:rPr>
  </w:style>
  <w:style w:type="character" w:styleId="10">
    <w:name w:val="page number"/>
    <w:qFormat/>
    <w:uiPriority w:val="0"/>
  </w:style>
  <w:style w:type="character" w:styleId="11">
    <w:name w:val="Hyperlink"/>
    <w:basedOn w:val="9"/>
    <w:unhideWhenUsed/>
    <w:qFormat/>
    <w:uiPriority w:val="99"/>
    <w:rPr>
      <w:color w:val="0563C1" w:themeColor="hyperlink"/>
      <w:u w:val="single"/>
      <w14:textFill>
        <w14:solidFill>
          <w14:schemeClr w14:val="hlink"/>
        </w14:solidFill>
      </w14:textFill>
    </w:rPr>
  </w:style>
  <w:style w:type="character" w:customStyle="1" w:styleId="12">
    <w:name w:val="标题 字符"/>
    <w:basedOn w:val="9"/>
    <w:link w:val="2"/>
    <w:qFormat/>
    <w:uiPriority w:val="0"/>
    <w:rPr>
      <w:rFonts w:ascii="Arial" w:hAnsi="Arial" w:eastAsia="Arial" w:cs="Arial"/>
      <w:b/>
      <w:snapToGrid w:val="0"/>
      <w:color w:val="000000"/>
      <w:kern w:val="0"/>
      <w:sz w:val="32"/>
      <w:szCs w:val="21"/>
      <w:lang w:eastAsia="en-US"/>
    </w:rPr>
  </w:style>
  <w:style w:type="character" w:customStyle="1" w:styleId="13">
    <w:name w:val="正文文本 字符"/>
    <w:basedOn w:val="9"/>
    <w:link w:val="4"/>
    <w:semiHidden/>
    <w:qFormat/>
    <w:uiPriority w:val="0"/>
    <w:rPr>
      <w:rFonts w:ascii="Arial" w:hAnsi="Arial" w:eastAsia="Arial" w:cs="Arial"/>
      <w:snapToGrid w:val="0"/>
      <w:color w:val="000000"/>
      <w:kern w:val="0"/>
      <w:szCs w:val="21"/>
      <w:lang w:eastAsia="en-US"/>
    </w:rPr>
  </w:style>
  <w:style w:type="character" w:customStyle="1" w:styleId="14">
    <w:name w:val="页脚 字符"/>
    <w:basedOn w:val="9"/>
    <w:link w:val="5"/>
    <w:qFormat/>
    <w:uiPriority w:val="0"/>
    <w:rPr>
      <w:rFonts w:ascii="Arial" w:hAnsi="Arial" w:eastAsia="Arial" w:cs="Arial"/>
      <w:snapToGrid w:val="0"/>
      <w:color w:val="000000"/>
      <w:kern w:val="0"/>
      <w:sz w:val="18"/>
      <w:szCs w:val="18"/>
      <w:lang w:eastAsia="en-US"/>
    </w:rPr>
  </w:style>
  <w:style w:type="paragraph" w:customStyle="1" w:styleId="15">
    <w:name w:val="_Style 5"/>
    <w:qFormat/>
    <w:uiPriority w:val="0"/>
    <w:pPr>
      <w:widowControl w:val="0"/>
      <w:ind w:firstLine="200" w:firstLineChars="200"/>
      <w:jc w:val="both"/>
    </w:pPr>
    <w:rPr>
      <w:rFonts w:ascii="Times New Roman" w:hAnsi="Times New Roman" w:eastAsia="宋体" w:cs="Times New Roman"/>
      <w:kern w:val="2"/>
      <w:sz w:val="24"/>
      <w:szCs w:val="22"/>
      <w:lang w:val="en-US" w:eastAsia="zh-CN" w:bidi="ar-SA"/>
    </w:rPr>
  </w:style>
  <w:style w:type="character" w:customStyle="1" w:styleId="16">
    <w:name w:val="font21"/>
    <w:qFormat/>
    <w:uiPriority w:val="0"/>
    <w:rPr>
      <w:rFonts w:hint="default" w:ascii="Times New Roman" w:hAnsi="Times New Roman" w:cs="Times New Roman"/>
      <w:color w:val="000000"/>
      <w:sz w:val="24"/>
      <w:szCs w:val="24"/>
      <w:u w:val="none"/>
    </w:rPr>
  </w:style>
  <w:style w:type="character" w:customStyle="1" w:styleId="17">
    <w:name w:val="font101"/>
    <w:qFormat/>
    <w:uiPriority w:val="0"/>
    <w:rPr>
      <w:rFonts w:hint="default" w:ascii="Times New Roman" w:hAnsi="Times New Roman" w:cs="Times New Roman"/>
      <w:color w:val="000000"/>
      <w:sz w:val="22"/>
      <w:szCs w:val="22"/>
      <w:u w:val="none"/>
    </w:rPr>
  </w:style>
  <w:style w:type="character" w:customStyle="1" w:styleId="18">
    <w:name w:val="标题 1 字符"/>
    <w:basedOn w:val="9"/>
    <w:link w:val="3"/>
    <w:qFormat/>
    <w:uiPriority w:val="9"/>
    <w:rPr>
      <w:rFonts w:ascii="Arial" w:hAnsi="Arial" w:eastAsia="Arial" w:cs="Arial"/>
      <w:b/>
      <w:bCs/>
      <w:snapToGrid w:val="0"/>
      <w:color w:val="000000"/>
      <w:kern w:val="44"/>
      <w:sz w:val="44"/>
      <w:szCs w:val="44"/>
      <w:lang w:eastAsia="en-US"/>
    </w:rPr>
  </w:style>
  <w:style w:type="paragraph" w:customStyle="1" w:styleId="19">
    <w:name w:val="TOC Heading"/>
    <w:basedOn w:val="3"/>
    <w:next w:val="1"/>
    <w:unhideWhenUsed/>
    <w:qFormat/>
    <w:uiPriority w:val="39"/>
    <w:pPr>
      <w:kinsoku/>
      <w:autoSpaceDE/>
      <w:autoSpaceDN/>
      <w:adjustRightInd/>
      <w:snapToGrid/>
      <w:spacing w:before="240" w:after="0" w:line="259" w:lineRule="auto"/>
      <w:textAlignment w:val="auto"/>
      <w:outlineLvl w:val="9"/>
    </w:pPr>
    <w:rPr>
      <w:rFonts w:asciiTheme="majorHAnsi" w:hAnsiTheme="majorHAnsi" w:eastAsiaTheme="majorEastAsia" w:cstheme="majorBidi"/>
      <w:b w:val="0"/>
      <w:bCs w:val="0"/>
      <w:snapToGrid/>
      <w:color w:val="2E75B6" w:themeColor="accent1" w:themeShade="BF"/>
      <w:kern w:val="0"/>
      <w:sz w:val="32"/>
      <w:szCs w:val="32"/>
      <w:lang w:eastAsia="zh-CN"/>
    </w:rPr>
  </w:style>
  <w:style w:type="character" w:customStyle="1" w:styleId="20">
    <w:name w:val="页眉 字符"/>
    <w:basedOn w:val="9"/>
    <w:link w:val="6"/>
    <w:qFormat/>
    <w:uiPriority w:val="99"/>
    <w:rPr>
      <w:rFonts w:ascii="Arial" w:hAnsi="Arial" w:eastAsia="Arial" w:cs="Arial"/>
      <w:snapToGrid w:val="0"/>
      <w:color w:val="000000"/>
      <w:kern w:val="0"/>
      <w:sz w:val="18"/>
      <w:szCs w:val="18"/>
      <w:lang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w="http://schemas.openxmlformats.org/wordprocessingml/2006/main" xmlns:w15="http://schemas.microsoft.com/office/word/2012/wordml" xmlns:w14="http://schemas.microsoft.com/office/word/2010/wordml" xmlns:r="http://schemas.openxmlformats.org/officeDocument/2006/relationships" xmlns:a="http://schemas.openxmlformats.org/drawingml/2006/main" xmlns:a14="http://schemas.microsoft.com/office/drawing/2010/main" xmlns:wp="http://schemas.openxmlformats.org/drawingml/2006/wordprocessingDrawing" xmlns:wp14="http://schemas.microsoft.com/office/word/2010/wordprocessingDrawing" xmlns:m="http://schemas.openxmlformats.org/officeDocument/2006/math"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DE3DF48-7483-4CD5-BB24-970728891761}">
  <ds:schemaRefs/>
</ds:datastoreItem>
</file>

<file path=docProps/app.xml><?xml version="1.0" encoding="utf-8"?>
<Properties xmlns="http://schemas.openxmlformats.org/officeDocument/2006/extended-properties" xmlns:vt="http://schemas.openxmlformats.org/officeDocument/2006/docPropsVTypes">
  <Template>Normal.dotm</Template>
  <Pages>62</Pages>
  <Words>40</Words>
  <Characters>233</Characters>
  <Lines>1</Lines>
  <Paragraphs>1</Paragraphs>
  <TotalTime>1</TotalTime>
  <ScaleCrop>false</ScaleCrop>
  <LinksUpToDate>false</LinksUpToDate>
  <CharactersWithSpaces>272</CharactersWithSpaces>
  <Application>WPS Office_11.8.2.9067_F1E327BC-269C-435d-A152-05C5408002CA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2024-07-15T12:59:00Z</dcterms:created>
  <dc:creator>liuhl</dc:creator>
  <cp:lastModifiedBy>MH</cp:lastModifiedBy>
  <dcterms:modified xsi:type="dcterms:W3CDTF">2026-07-31T03:30:03Z</dcterms:modified>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y fmtid="{D5CDD505-2E9C-101B-9397-08002B2CF9AE}" pid="3" name="ICV">
    <vt:lpwstr>7C012BAD8D304E5FBDBB36BC440F6BCF_12</vt:lpwstr>
  </property>
</Properties>
</file>