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ascii="方正公文小标宋" w:eastAsia="方正公文小标宋"/>
          <w:b w:val="0"/>
          <w:sz w:val="84"/>
          <w:szCs w:val="84"/>
          <w:lang w:eastAsia="zh-CN"/>
        </w:rPr>
      </w:pPr>
    </w:p>
    <w:p>
      <w:pPr>
        <w:pStyle w:val="2"/>
        <w:jc w:val="left"/>
        <w:rPr>
          <w:rFonts w:ascii="方正公文小标宋" w:eastAsia="方正公文小标宋"/>
          <w:b w:val="0"/>
          <w:sz w:val="84"/>
          <w:szCs w:val="84"/>
          <w:lang w:eastAsia="zh-CN"/>
        </w:rPr>
      </w:pP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吉林省白山市长白朝鲜族自治县</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十二道沟镇人民政府履行职责事</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项清单</w:t>
      </w:r>
    </w:p>
    <w:p>
      <w:pPr>
        <w:rPr>
          <w:rFonts w:ascii="方正公文小标宋" w:eastAsia="方正公文小标宋"/>
          <w:sz w:val="84"/>
          <w:szCs w:val="84"/>
          <w:lang w:eastAsia="zh-CN"/>
        </w:rPr>
      </w:pPr>
    </w:p>
    <w:p>
      <w:pPr>
        <w:pStyle w:val="19"/>
        <w:jc w:val="center"/>
        <w:rPr>
          <w:rFonts w:ascii="Times New Roman" w:hAnsi="Times New Roman" w:eastAsia="Arial" w:cs="Times New Roman"/>
          <w:snapToGrid w:val="0"/>
          <w:color w:val="000000"/>
          <w:sz w:val="21"/>
          <w:szCs w:val="21"/>
          <w:lang w:val="zh-CN" w:eastAsia="en-US"/>
        </w:rPr>
        <w:sectPr>
          <w:footerReference r:id="rId3" w:type="default"/>
          <w:pgSz w:w="16837" w:h="11905" w:orient="landscape"/>
          <w:pgMar w:top="1418" w:right="1418" w:bottom="1418" w:left="1418" w:header="851" w:footer="907" w:gutter="0"/>
          <w:pgNumType w:fmt="decimal" w:start="1"/>
          <w:cols w:space="720" w:num="1"/>
          <w:docGrid w:linePitch="312" w:charSpace="0"/>
        </w:sectPr>
      </w:pPr>
    </w:p>
    <w:sdt>
      <w:sdtPr>
        <w:rPr>
          <w:rFonts w:ascii="Times New Roman" w:hAnsi="Times New Roman" w:eastAsia="Arial" w:cs="Times New Roman"/>
          <w:snapToGrid w:val="0"/>
          <w:color w:val="000000"/>
          <w:sz w:val="21"/>
          <w:szCs w:val="21"/>
          <w:lang w:val="zh-CN" w:eastAsia="en-US"/>
        </w:rPr>
        <w:id w:val="1172384030"/>
        <w:docPartObj>
          <w:docPartGallery w:val="Table of Contents"/>
          <w:docPartUnique/>
        </w:docPartObj>
      </w:sdtPr>
      <w:sdtEndPr>
        <w:rPr>
          <w:rFonts w:ascii="Times New Roman" w:hAnsi="Times New Roman" w:eastAsia="方正公文仿宋" w:cs="Times New Roman"/>
          <w:b/>
          <w:bCs/>
          <w:snapToGrid w:val="0"/>
          <w:color w:val="000000"/>
          <w:sz w:val="32"/>
          <w:szCs w:val="21"/>
          <w:lang w:val="zh-CN" w:eastAsia="en-US"/>
        </w:rPr>
      </w:sdtEndPr>
      <w:sdtContent>
        <w:p>
          <w:pPr>
            <w:pStyle w:val="19"/>
            <w:jc w:val="center"/>
            <w:rPr>
              <w:rFonts w:hint="eastAsia" w:ascii="Times New Roman" w:hAnsi="Times New Roman" w:eastAsia="方正公文小标宋" w:cs="Times New Roman"/>
              <w:color w:val="auto"/>
              <w:sz w:val="44"/>
              <w:szCs w:val="44"/>
              <w:lang w:val="zh-CN"/>
            </w:rPr>
          </w:pPr>
          <w:r>
            <w:rPr>
              <w:rFonts w:ascii="Times New Roman" w:hAnsi="Times New Roman" w:eastAsia="方正公文小标宋" w:cs="Times New Roman"/>
              <w:color w:val="auto"/>
              <w:sz w:val="44"/>
              <w:szCs w:val="44"/>
              <w:lang w:val="zh-CN"/>
            </w:rPr>
            <w:t>目</w:t>
          </w:r>
          <w:r>
            <w:rPr>
              <w:rFonts w:hint="eastAsia" w:ascii="Times New Roman" w:hAnsi="Times New Roman" w:eastAsia="方正公文小标宋" w:cs="Times New Roman"/>
              <w:color w:val="auto"/>
              <w:sz w:val="44"/>
              <w:szCs w:val="44"/>
              <w:lang w:val="zh-CN"/>
            </w:rPr>
            <w:t xml:space="preserve">  </w:t>
          </w:r>
          <w:r>
            <w:rPr>
              <w:rFonts w:ascii="Times New Roman" w:hAnsi="Times New Roman" w:eastAsia="方正公文小标宋" w:cs="Times New Roman"/>
              <w:color w:val="auto"/>
              <w:sz w:val="44"/>
              <w:szCs w:val="44"/>
              <w:lang w:val="zh-CN"/>
            </w:rPr>
            <w:t>录</w:t>
          </w:r>
        </w:p>
        <w:p>
          <w:pPr>
            <w:pStyle w:val="7"/>
            <w:tabs>
              <w:tab w:val="right" w:pos="13991"/>
            </w:tabs>
            <w:rPr>
              <w:rFonts w:cs="Times New Roman" w:eastAsiaTheme="minorEastAsia"/>
              <w:snapToGrid/>
              <w:color w:val="auto"/>
              <w:kern w:val="2"/>
              <w:sz w:val="21"/>
              <w:szCs w:val="22"/>
              <w:lang w:eastAsia="zh-CN"/>
            </w:rPr>
          </w:pPr>
          <w:r>
            <w:rPr>
              <w:rFonts w:cs="Times New Roman"/>
              <w:szCs w:val="32"/>
            </w:rPr>
            <w:fldChar w:fldCharType="begin"/>
          </w:r>
          <w:r>
            <w:rPr>
              <w:rFonts w:cs="Times New Roman"/>
              <w:szCs w:val="32"/>
            </w:rPr>
            <w:instrText xml:space="preserve"> TOC \o "1-3" \n \h \z \u </w:instrText>
          </w:r>
          <w:r>
            <w:rPr>
              <w:rFonts w:cs="Times New Roman"/>
              <w:szCs w:val="32"/>
            </w:rPr>
            <w:fldChar w:fldCharType="separate"/>
          </w:r>
          <w:r>
            <w:fldChar w:fldCharType="begin"/>
          </w:r>
          <w:r>
            <w:instrText xml:space="preserve"> HYPERLINK \l "_Toc172533652" </w:instrText>
          </w:r>
          <w:r>
            <w:fldChar w:fldCharType="separate"/>
          </w:r>
          <w:r>
            <w:rPr>
              <w:rStyle w:val="11"/>
              <w:rFonts w:eastAsia="方正公文小标宋" w:cs="Times New Roman"/>
              <w:lang w:eastAsia="zh-CN"/>
            </w:rPr>
            <w:t>基本</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tabs>
              <w:tab w:val="right" w:pos="13991"/>
            </w:tabs>
            <w:rPr>
              <w:rFonts w:cs="Times New Roman" w:eastAsiaTheme="minorEastAsia"/>
              <w:snapToGrid/>
              <w:color w:val="auto"/>
              <w:kern w:val="2"/>
              <w:sz w:val="21"/>
              <w:szCs w:val="22"/>
              <w:lang w:eastAsia="zh-CN"/>
            </w:rPr>
          </w:pPr>
          <w:r>
            <w:fldChar w:fldCharType="begin"/>
          </w:r>
          <w:r>
            <w:instrText xml:space="preserve"> HYPERLINK \l "_Toc172533653" </w:instrText>
          </w:r>
          <w:r>
            <w:fldChar w:fldCharType="separate"/>
          </w:r>
          <w:r>
            <w:rPr>
              <w:rStyle w:val="11"/>
              <w:rFonts w:eastAsia="方正公文小标宋" w:cs="Times New Roman"/>
              <w:lang w:eastAsia="zh-CN"/>
            </w:rPr>
            <w:t>配合</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rPr>
              <w:rFonts w:cs="Times New Roman"/>
              <w:b/>
              <w:bCs/>
              <w:lang w:val="zh-CN"/>
            </w:rPr>
          </w:pPr>
          <w:r>
            <w:fldChar w:fldCharType="begin"/>
          </w:r>
          <w:r>
            <w:instrText xml:space="preserve"> HYPERLINK \l "_Toc172533654" </w:instrText>
          </w:r>
          <w:r>
            <w:fldChar w:fldCharType="separate"/>
          </w:r>
          <w:r>
            <w:rPr>
              <w:rStyle w:val="11"/>
              <w:rFonts w:hint="eastAsia" w:eastAsia="方正公文小标宋" w:cs="Times New Roman"/>
              <w:lang w:eastAsia="zh-CN"/>
            </w:rPr>
            <w:t>上级部门收回事项清单</w:t>
          </w:r>
          <w:r>
            <w:rPr>
              <w:rStyle w:val="11"/>
              <w:rFonts w:hint="eastAsia" w:eastAsia="方正公文小标宋" w:cs="Times New Roman"/>
              <w:lang w:eastAsia="zh-CN"/>
            </w:rPr>
            <w:fldChar w:fldCharType="end"/>
          </w:r>
          <w:r>
            <w:rPr>
              <w:rFonts w:cs="Times New Roman"/>
              <w:szCs w:val="32"/>
            </w:rPr>
            <w:fldChar w:fldCharType="end"/>
          </w:r>
        </w:p>
      </w:sdtContent>
    </w:sdt>
    <w:p>
      <w:pPr>
        <w:pStyle w:val="2"/>
        <w:jc w:val="both"/>
        <w:rPr>
          <w:rFonts w:ascii="Times New Roman" w:hAnsi="Times New Roman" w:eastAsia="方正小标宋_GBK" w:cs="Times New Roman"/>
          <w:color w:val="auto"/>
          <w:spacing w:val="7"/>
          <w:sz w:val="44"/>
          <w:szCs w:val="44"/>
          <w:lang w:eastAsia="zh-CN"/>
        </w:rPr>
      </w:pPr>
    </w:p>
    <w:p>
      <w:pPr>
        <w:jc w:val="center"/>
        <w:rPr>
          <w:rFonts w:hint="eastAsia" w:eastAsiaTheme="minorEastAsia"/>
          <w:lang w:eastAsia="zh-CN"/>
        </w:rPr>
        <w:sectPr>
          <w:footerReference r:id="rId4" w:type="default"/>
          <w:pgSz w:w="16837" w:h="11905" w:orient="landscape"/>
          <w:pgMar w:top="1418" w:right="1418" w:bottom="1418" w:left="1418" w:header="851" w:footer="907" w:gutter="0"/>
          <w:pgNumType w:fmt="decimal" w:start="1"/>
          <w:cols w:space="720" w:num="1"/>
          <w:docGrid w:linePitch="312" w:charSpace="0"/>
        </w:sectPr>
      </w:pPr>
      <w:r>
        <w:rPr>
          <w:rStyle w:val="11"/>
          <w:rFonts w:hint="eastAsia" w:ascii="Times New Roman" w:hAnsi="Times New Roman" w:eastAsia="方正公文小标宋" w:cs="Times New Roman"/>
          <w:color w:val="auto"/>
          <w:sz w:val="32"/>
          <w:u w:val="none"/>
          <w:lang w:val="en-US" w:eastAsia="zh-CN"/>
        </w:rPr>
        <w:t xml:space="preserve"> </w:t>
      </w:r>
    </w:p>
    <w:p>
      <w:pPr>
        <w:pStyle w:val="3"/>
        <w:spacing w:before="0" w:after="0" w:line="240" w:lineRule="auto"/>
        <w:jc w:val="center"/>
        <w:rPr>
          <w:rFonts w:ascii="Times New Roman" w:hAnsi="Times New Roman" w:eastAsia="方正公文小标宋" w:cs="Times New Roman"/>
          <w:b w:val="0"/>
          <w:color w:val="auto"/>
          <w:spacing w:val="7"/>
          <w:lang w:eastAsia="zh-CN"/>
        </w:rPr>
      </w:pPr>
      <w:bookmarkStart w:id="0" w:name="_Toc172077416"/>
      <w:bookmarkStart w:id="1" w:name="_Toc172077949"/>
      <w:bookmarkStart w:id="2" w:name="_Toc172533652"/>
      <w:bookmarkStart w:id="3" w:name="_Toc172077551"/>
      <w:r>
        <w:rPr>
          <w:rFonts w:ascii="Times New Roman" w:hAnsi="Times New Roman" w:eastAsia="方正公文小标宋" w:cs="Times New Roman"/>
          <w:b w:val="0"/>
          <w:lang w:eastAsia="zh-CN"/>
        </w:rPr>
        <w:t>基本</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0"/>
      <w:bookmarkEnd w:id="1"/>
      <w:bookmarkEnd w:id="2"/>
      <w:bookmarkEnd w:id="3"/>
    </w:p>
    <w:tbl>
      <w:tblPr>
        <w:tblStyle w:val="8"/>
        <w:tblW w:w="14045" w:type="dxa"/>
        <w:tblInd w:w="96" w:type="dxa"/>
        <w:tblLayout w:type="autofit"/>
        <w:tblCellMar>
          <w:top w:w="0" w:type="dxa"/>
          <w:left w:w="108" w:type="dxa"/>
          <w:bottom w:w="0" w:type="dxa"/>
          <w:right w:w="108" w:type="dxa"/>
        </w:tblCellMar>
      </w:tblPr>
      <w:tblGrid>
        <w:gridCol w:w="712"/>
        <w:gridCol w:w="13333"/>
      </w:tblGrid>
      <w:tr>
        <w:tblPrEx>
          <w:tblCellMar>
            <w:top w:w="0" w:type="dxa"/>
            <w:left w:w="108" w:type="dxa"/>
            <w:bottom w:w="0" w:type="dxa"/>
            <w:right w:w="108" w:type="dxa"/>
          </w:tblCellMar>
        </w:tblPrEx>
        <w:trPr>
          <w:cantSplit/>
          <w:trHeight w:val="658" w:hRule="atLeast"/>
          <w:tblHeader/>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lang w:bidi="ar"/>
              </w:rPr>
              <w:t>序号</w:t>
            </w:r>
          </w:p>
        </w:tc>
        <w:tc>
          <w:tcPr>
            <w:tcW w:w="1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lang w:eastAsia="zh-CN" w:bidi="ar"/>
              </w:rPr>
              <w:t>事项</w:t>
            </w:r>
            <w:r>
              <w:rPr>
                <w:rFonts w:ascii="Times New Roman" w:hAnsi="Times New Roman" w:eastAsia="方正公文黑体"/>
                <w:lang w:eastAsia="zh-CN" w:bidi="ar"/>
              </w:rPr>
              <w:t>名称</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一、党的建设（24项）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学习贯彻落实习近平新时代中国特色社会主义思想和习近平总书记对吉林工作的重要讲话重要指示精神，落实“第一议题”制度，宣传和执行党的路线方针政策，执行上级党组织及本级党组织的决策部署，按照党中央部署开展党内集中教育，加强政治建设，坚定拥护“两个确立”，坚决做到“两个维护”。</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委自身建设，履行全面从严治党主体责任，落实民主集中制、理论学习中心组学习、民主生活会、谈心谈话、党务公开、重大事项请示报告等制度，落实高质量发展政绩考核、巡视巡察反馈问题整改工作要求，落实领导干部联系点制度，加强调查研究和联系服务群众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推进党的基层党组织规范化建设，严格执行党的组织生活制度负责所辖基层党组织成立、撤销、调整、换届、人员备案管理，整顿软弱涣散党支部，打造特色党建品牌，管理党建经费、服务群众专项经费。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落实党代会年会制和党代表任期制，负责召开党代会年会，推荐选举党代表人选，加强党代表联络服务，办理党代表意见建议。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加强党员队伍建设，负责发展党员和党员教育、管理、服务，党员组织关系转接与信息维护，承担关怀帮扶生活困难党员和老党员，党费的核算、收缴、使用和管理，不合格党员处置等工作。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加强基层干部队伍建设，按照干部管理权限，负责镇级干部的教育、培养、选拔、考核、考察和监督管理，培育基层干部后备力量，考核、教育、管理村干部及驻村工作队。</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坚持党管人才原则，宣传解读人才政策，常态化开展引进人才工作，建立人才信息库，推荐、培养、使用各领域优秀人才，加强人才沟通联系。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强化党组织阵地建设，落实党群服务中心（站）、基层党员教育阵地建设，指导农村、社区、“两企三新”等党组织规范开展工作，实施村部升级改造。</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负责离退休干部服务保障工作，承担维护离退休人员信息、巡访关爱、教育交流等工作。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落实党风廉政建设责任制，加强作风建设，开展廉政、廉洁、反腐败斗争和警示教育工作。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落实全面从严治党监督责任，强化监督执纪问责，推动乡镇、村（居）两级监督体系建设，落实中央八项规定精神，推进集中整治工作，依法依纪办理纪检监察案件，监督巡视巡察反馈问题整改落实情况。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开展宣传思想文化工作，建设管理宣传、文化阵地，负责新闻信息宣传、联络沟通媒体、报刊杂志征订、新媒体工作号管理等工作，组织开展爱国主义教育活动。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培育和践行社会主义核心价值观，开展精神文明创建系列活动，开展典型人物的挖掘和培育工作，加强新时代文明实践所（站）建设和管理。</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落实统战工作责任制，学习宣传统战政策，加强统一战线工作对象的沟通、联系、管理和帮扶工作，开展统一战线相关活动。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铸牢中华民族共同体意识，统计少数民族人员信息，宣传民族宗教政策，开展民族团结进步宣传月活动，实行宗教工作网格化管理，宣传推广普通话及国家通用语言文字。</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落实人民代表大会制度，组织人大换届、选举人大代表，组织人大代表参会，联系人大代表履职，建设人大代表家（站），征集、办理人大代表议案建议等工作。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落实政治协商制度，推荐上级政协委员，组织政协委员与基层群众联络，联系政协委员在辖区内开展履职活动，办理、答复政协提案建议。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推动辖区工会组织建设、换届工作，做好职工帮扶维权工作，开展工会系列活动，开展职工关爱服务，收缴、使用工会经费。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推进辖区共青团组织、阵地建设、换届工作，开展团员、团费管理工作，开展青少年宣讲实践活动等工作。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推进辖区妇联组织建设、换届工作，维护妇女儿童合法权益，组织妇联开展各类活动，加强妇女儿童阵地、家庭家教家风建设。</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负责辖区残联组织建设，组织换届工作，开展残疾人政策普及、文体活动工作。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统筹辖区“五老”工作，收集域内“五老”人员信息，组织“五老”人员开展关心下一代工作。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落实党建引领基层治理工作要求，负责推进“书记一号工程”项目建设，组建志愿服务队伍、开展志愿服务活动，管理培训社区工作者队伍等工作。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加强村（居）民委员会、村（居）务监督委员会组织建设，承担组织村（社区）换届、补选，落实“四议两公开”制度，指导村（社区）开展自治工作、落实“一约四会”章程。</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二、经济发展（9项）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负责推动镇域经济高质量发展工作，编制、实施经济发展规划，统计经济和社会企业情况等工作。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负责优化营商环境，宣传优化营商环境政策，承担推进信用体系建设、动员规模以上企业入规、宣传惠企政策，开展深化助企服务、解决企业困难等工作。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负责招商引资工作，承担制定招商引资计划、宣传招商政策，谋划、对接、签约招商引资项目等工作。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负责政府投资项目的谋划、实施与监管，项目后续维护、运营及保障等工作。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负责普查工作，实施经济、人口、农业普查工作。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负责统计工作队伍建设，加强统计监督职责，承担统计法律法规宣传及培训，开展涉农统计和抽样调查等工作，利用统计数据指导产业发展。</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促进村民、村集体增收，管理村级集体经济，建设党组织引领联合社、指导成立、管理村级党支部领办合作社，日常管理新型经营主体情况。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负责农村集体“三资”监管工作，提供财务委托代理服务，推进农村集体资金、资产、资源规范化运行，监管村级集体经济收益分配、村级经费运转、驻村第一书记经费等工作。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负责农村电商发展培育工作，建立电商服务中心、村级电商服务站，培育本地电商主体等工作。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三、民生服务（13项）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便民服务中心（站）标准化建设工作，开展政务服务培训、监管工作人员纪律，深化“最多跑一次”改革、提供“一站式办结”服务，制定并公开政务服务管理制度及指南、规范办件流程，完善领办代办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就业服务工作，宣传就业创业政策，通过入户走访，建立就业困难人员台账，引导就业困难人员申请创业就业补贴，组织就业困难人员参加就业创业技能培训，做好辖区内就业供需对接相关工作，为就业困难人员提供公益性岗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生活困难群体救助帮扶工作，摸排辖区内困难群众、人均收入低于当地最低生活保障标准的家庭，按规定给予最低生活保障，为因突发事件、意外伤害、重大疾病或其他特殊原因导致基本生活陷入困境对象提供临时救助，监测特困供养人群信息变化情况，经办特困供养业务，动态调整救助待遇。</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特殊困难群体帮扶救助工作，摸排辖区精神障碍患者家庭生产生活情况，为生活困难的精神障碍患者家庭提供帮助，建立独居、空巢、失能、重残等特殊家庭老年人台账，提供探访关爱和帮扶服务，日常管理老年食堂、养老机构，申报高龄老人补贴，摸排辖区孤儿、留守儿童、事实无人抚养的儿童情况，做好基本生活保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做好残疾人服务和关心关爱，负责困难残疾人生活补贴、重度残疾人护理补贴的申请受理工作，提供残疾人康复就业、辅具申请更换服务，组织残疾人参加职业技能培训，做好公益助残等工作。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负责办理基本养老保险相关业务工作，宣传城乡居民养老保险政策，更新城乡居民养老保险参保及死亡情况，基本养老保险资格认证、信息采集，城乡居民养老保险待遇申领、补缴、公示等工作。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负责基本医疗保险经办管理工作，承担宣传医保政策、提供医疗保险参保、信息查询服务。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组织退役军人学习政治理论和党的路线方针政策，建设管理退役军人服务站，退役军人心理疏导教育，组织退役军人参加培训，开展双拥活动，发放光荣牌、送立功喜报等工作。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负责退役军人及其他优抚对象服务保障工作，承担动态管理退役军人建档立卡信息，强化退役军人优抚对象服务保障，初审上报困难退役军人及农村籍退役士兵老年补助申请。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宣传计划生育政策，承担采集更新计划生育数据、依规办理独生子女证、生育证等工作，管理家庭健康指导员队伍，申报计划生育家庭补贴奖励，计划生育特殊家庭工作。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宣传爱国卫生知识，开展爱国卫生、公共卫生工作，宣传控烟知识、创建无烟场所，组织村（社区）实施春秋季灭鼠等相关工作。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负责落实红十字会相关工作，承担红十字日、爱心捐赠宣传，组织献血献爱心活动。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监督管理物业服务，宣传普及物业法规政策，指导业主委员会和物业管理委员会的成立、换届工作，管理无物业小区和老旧住宅小区物业。</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四、平安法治（5项）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宣传法治政府政策，开展普法宣传，推进法治政府建设、建设乡镇法治文化阵地、人民陪审员队伍，建设公共法律服务平台等工作。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贯彻落实总体国家安全观政策，组织开展国家安全法律法规宣传和国防教育活动，组织摸排国家安全隐患，落实反暴恐相关工作。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负责宣传防范诈骗常识、开展教育讲学、承担落实防诈预警、排查上报线索等相关工作。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建立健全信访工作机制，宣传信访法律法规，排查涉访矛盾，受理群众来信、来电、网上等信访事项，接待群众来访，承办上级党委政府直接交办的信访事项，督促、审核信访事项的办理回复。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落实兴边富民稳边固边责任，聚集边境村人气，提高边境村民生保障，做好稳边固边人员队伍管理。</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五、乡村振兴（14项）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负责落实巩固拓展脱贫攻坚成果同乡村振兴有效衔接主体责任和监管责任，承担经常性走访，开展业务培训及考核、整改省级反馈问题等工作。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宣传脱贫户纳入监测对象政策，通过网格员排查、群众申报、部门筛查等预警方式，及时发现因病、因灾、突发事故、经营亏损等导致家庭收入严重下降生活困难的农户，纳入监测对象。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对脱贫人口及监测对象开展帮扶救助，综合运用临时救助、低保、医疗、社保、住房、饮水、教育等帮扶政策，保障基本生活。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帮助指导脱贫人口及监测对象就业创业，制定“一户一策”帮扶措施，利用光伏项目收益开发公益性岗位，落实产业、金融、消费、科技等帮扶政策，稳定脱贫人口及监测对象收入。</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落实粮食安全责任制，负责宣传粮食安全、黑土地保护政策，承担提供相关技术指导、组织开展巡田、遏制耕地“非农化”、管理耕地“非粮化”等相关工作。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宣传高标准农田保护政策，推进高标准农田建设，管护高标准农田，摸排农田沟渠情况等工作。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负责农业种植技术推广、农民技能培训，开展农业科技示范主体、农作物病虫害防治、化肥减量增效等工作。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负责农机政策、知识推广，开展农机数据统计，引进、推广农业机械新机具等工作。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谋划推动十二道沟农特产业项目，依托域内特色资源打造“长池山下”“池山下”大米品牌，发展智能光伏棚膜经济产业。</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承担农村土地相关服务职责，宣传农村土地法律法规、政策，负责农村土地流转工作、农村土地承包工作等工作 。</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负责宣传农产品质量安全知识，农产品质量管理，监管村级农产品质量安全协管员，统计农业种植及农资回收情况等工作。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负责农村饮水供水安全服务工作，承担政策宣传、水源地维护、水井房监管、水管员日常管理、农村饮水安全保障等工作。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开展畜禽养殖抽样、存出栏、畜禽“四类场所”检查工作、病死及死亡畜禽处理等工作。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承担畜牧业法律法规政策宣传教育、畜禽防疫，提供畜禽养殖技术、优良品种指导等工作。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六、生态环保（6项）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践行“绿水青山就是金山银山”理念，承担宣传法律法规政策，开展生态环境保护日常巡查、核查线索、整改督察反馈问题等工作。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落实林长制工作，负责宣传林业保护法律法规政策，组建、管理森林管护员，组织开展巡林、植树造林等工作，处理林地纠纷。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落实河长制工作，负责宣传河湖保护政策，聘用、管理河道保洁员，组织开展巡河等工作。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负责整治农村人居环境相关工作，承担政策宣传、整理统计数据，开展村庄清洁、乡村绿化等工作。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负责宣传秸秆禁烧政策知识，开展秸秆离田工作，规范处置秸秆残茬，承担秸秆禁烧区域监管、发放年度秸秆禁烧奖补资金等工作。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承担水资源保护相关工作，负责宣传水资源保护政策，开展水源地保护，排查水土保持情况及水域安全隐患。</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七、城乡建设（2项）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负责村庄建设，开展全国村镇建设系统填报工作，承担完善村庄地理位置、管护“四好农村路”、村庄公共设施和基础设施情况等工作。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承担巡查房屋情况、审核验收农村宅基地建设情况等工作。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八、文化和旅游（3项）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制定文化工作计划，组织开展基层公共文化、农民业余文化生活活动、科普活动、中华优秀传统文艺文化传承等群众性文化活动。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发掘乡村旅游资源，负责普查整理乡村旅游资源，培育本地特色文化旅游资源，谋划申请乡村旅游项目等工作。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负责全民健身推广工作，开展健康知识普及、体育活动，维护管理文体设施、场所等工作。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九、综合政务（12项）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负责年度财政预决算编制、执行工作，承担财政资产、信息管理及财政资金管理、内控制度建立等工作。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负责人事劳资管理相关工作，承担核算、调整在职人员工资，申报、调整及发放福利待遇，收缴个人所得税等工作。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负责乡镇机关节能减排相关工作，承担管理办公用房、公车等固定资产工作，保障机关日常办公需求。</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承担变更统一社会信用代码证书、维护事业单位法人信息等工作。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负责乡镇人事编制工作，承担申请编制岗位需求、办理编制落实手续，事业人员岗位聘用调整、档案管理等人事相关工作。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管理公益性岗位等编外人员，承担岗位人员补贴代发、保险代缴等相关工作。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落实保密工作责任制，宣传保密法律法规，负责制定保密制度，日常保密管理、教育、自查自评等工作，管理涉密设备、人员、文件等。</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负责乡镇综合行政执法相关工作，组建执法队伍，承担业务能力培训、管理网络经营场所、联合执法等工作。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负责政务公开专区建设工作，公开、解读、修正政务信息，梳理及更新村（居）务公开目录，培训使用政务外网，组织开展政府开放日活动，日常管理、维护综合政务外网等工作。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负责“12345”热线、网站留言、领导信箱转办工作，承担群众诉求事项接收及退回、反馈及回访工作。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负责乡镇机关事务工作，承担公文处理、印章管理、节假日值班，会务保障等日常工作。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开展“国际档案日”宣传活动，加强档案管理基础设施建设，档案管理、归档，收集上报地方志、大事记、年鉴资料，指导村（社区）开展档案管理工作等工作。</w:t>
            </w:r>
          </w:p>
        </w:tc>
      </w:tr>
    </w:tbl>
    <w:p>
      <w:pPr>
        <w:pStyle w:val="3"/>
        <w:spacing w:before="0" w:after="0" w:line="240" w:lineRule="auto"/>
        <w:jc w:val="center"/>
        <w:rPr>
          <w:rFonts w:ascii="Times New Roman" w:hAnsi="Times New Roman" w:eastAsia="方正小标宋_GBK" w:cs="Times New Roman"/>
          <w:color w:val="auto"/>
          <w:lang w:eastAsia="zh-CN" w:bidi="ar"/>
        </w:rPr>
      </w:pPr>
      <w:r>
        <w:rPr>
          <w:rFonts w:ascii="Times New Roman" w:hAnsi="Times New Roman" w:eastAsia="方正小标宋_GBK" w:cs="Times New Roman"/>
          <w:color w:val="auto"/>
          <w:lang w:eastAsia="zh-CN" w:bidi="ar"/>
        </w:rPr>
        <w:br w:type="page"/>
      </w:r>
      <w:bookmarkStart w:id="4" w:name="_Toc172077950"/>
      <w:bookmarkStart w:id="5" w:name="_Toc172077552"/>
      <w:bookmarkStart w:id="6" w:name="_Toc172533653"/>
      <w:bookmarkStart w:id="7" w:name="_Toc172077417"/>
      <w:r>
        <w:rPr>
          <w:rFonts w:ascii="Times New Roman" w:hAnsi="Times New Roman" w:eastAsia="方正公文小标宋" w:cs="Times New Roman"/>
          <w:b w:val="0"/>
          <w:lang w:eastAsia="zh-CN"/>
        </w:rPr>
        <w:t>配合</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4"/>
      <w:bookmarkEnd w:id="5"/>
      <w:bookmarkEnd w:id="6"/>
      <w:bookmarkEnd w:id="7"/>
    </w:p>
    <w:tbl>
      <w:tblPr>
        <w:tblStyle w:val="8"/>
        <w:tblW w:w="14045" w:type="dxa"/>
        <w:tblInd w:w="0" w:type="dxa"/>
        <w:tblLayout w:type="autofit"/>
        <w:tblCellMar>
          <w:top w:w="0" w:type="dxa"/>
          <w:left w:w="108" w:type="dxa"/>
          <w:bottom w:w="0" w:type="dxa"/>
          <w:right w:w="108" w:type="dxa"/>
        </w:tblCellMar>
      </w:tblPr>
      <w:tblGrid>
        <w:gridCol w:w="727"/>
        <w:gridCol w:w="1814"/>
        <w:gridCol w:w="1814"/>
        <w:gridCol w:w="4842"/>
        <w:gridCol w:w="4848"/>
      </w:tblGrid>
      <w:tr>
        <w:tblPrEx>
          <w:tblCellMar>
            <w:top w:w="0" w:type="dxa"/>
            <w:left w:w="108" w:type="dxa"/>
            <w:bottom w:w="0" w:type="dxa"/>
            <w:right w:w="108" w:type="dxa"/>
          </w:tblCellMar>
        </w:tblPrEx>
        <w:trPr>
          <w:cantSplit/>
          <w:trHeight w:val="658"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序号</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事项名称</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对应上级部门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上级部门职责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color w:val="auto"/>
                <w:lang w:eastAsia="zh-CN" w:bidi="ar"/>
              </w:rPr>
              <w:t>镇</w:t>
            </w:r>
            <w:r>
              <w:rPr>
                <w:rFonts w:ascii="Times New Roman" w:hAnsi="Times New Roman" w:eastAsia="方正公文黑体"/>
                <w:color w:val="auto"/>
                <w:lang w:eastAsia="zh-CN" w:bidi="ar"/>
              </w:rPr>
              <w:t>配合职责</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一、经济发展（4项）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审计监督村民委员会、农村集体经济组织接受、运用财政资金的真实、合法和效益情况</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1.提供村民委员会、农村集体经济组织接受、运用财政资金的真实、合法和效益情况资料；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2.整改村民委员会、农村集体经济组织接受、运用财政资金的真实、合法和效益情况问题。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农村“三资”领域审计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1.提供农村“三资”领域审计材料；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2.整改农村“三资”领域审计问题。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党政正职任期经济责任审计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1.提供党政正职任期经济责任审计材料；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2.整改党政正职任期经济责任审计问题。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维护基本单位名录库信息</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县统计局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1.下发法人单位信息；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2.维护基本单位名录库信息。</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核实录入基本单位名录库信息。</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二、民生服务（22项）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追缴违规领取的城乡最低生活保障金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1.通过省信息核对平台，筛查出可能存在违规领取最低生活保障金人员信息并反馈给乡镇；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2.对乡镇上报的拒不返还违规领取最低生活保障金的人员依法追缴冒领款物；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1.对反馈的可能存在违规领取最低生活保障金人员进行核实；                                                                           2.送达违规领取最低生活保障金人员的追缴通知单，并责令退回冒领款物；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3.登记拒不返还违规领取最低生活保障金人员台账；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4.上报拒不返还违规领取最低生活保障金人员名单。</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安置流浪乞讨人员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2.组织安置生活无着落的流浪乞讨人员。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1.排查上报生活无着落的流浪乞讨人员信息；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2.协助安置生活无着落的流浪乞讨人员。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困难儿童基本生活补贴办理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1.审核困难儿童基本生活补贴材料；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2.拨付困难儿童基本生活补贴。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1.初审困难儿童基本生活补贴申请材料；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2.申报困难儿童基本生活补贴材料。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适老化设施改造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1.受理适老化改造申请；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3.确认适老化改造资格；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4.组织第三方实施改造；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5.组织验收改造项目。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1.统计上报适老化设施改造需求；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2.引导工作人员进行适老化改造入户筛查；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3.引导第三方入户实施适老化改造。</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农村公益性墓地审核审批</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审批农村公益性墓地申请。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1.指导村选定公益性墓地地址；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2.核实公益性墓地选址土地性质；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3.审核农村公益性墓地。</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殡葬相关政策宣传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制作宣传内容，确定宣传方式。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1.开展殡葬政策宣传；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2.统计宣传数据。</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整改殡葬服务行业问题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1.制作下发殡葬相关政策宣传内容；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2.通知乡镇殡葬政策宣传方式；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3.实地走访殡葬服务行业并督促整改问题。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1.宣传殡葬管理法律法规；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2.协助走访殡葬服务行业。</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办理低保户基本殡葬服务费用减免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2.发放低保户基本殡葬服务费用减免资金。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受理低保户基本殡葬服务费用减免申请。</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办理节地生态安葬补贴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1.宣传节地生态安葬补贴政策；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2.受理节地生态惠民奖补申请。</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更换残疾证</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审核残疾证到期换证人员信息，发放残疾证。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统计上报残疾证到期换证人员信息。</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残疾人子女或残疾学生助学金办理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1.审核残疾人子女或残疾学生助学金材料；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2.发放残疾人子女或残疾学生助学金。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申报残疾人子女或残疾学生助学金材料。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贫困居家失能老人护理补贴办理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1.审核贫困居家失能老人护理补贴材料；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2.发放贫困居家失能老人护理补贴。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登记上报贫困居家失能老人护理补贴材料。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走访慰问困难退役军人和其他优抚对象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2.走访慰问困难退役军人和其他优抚对象。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1.上报困难退役军人和其他优抚对象名单；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2.协助走访慰问困难退役军人和其他优抚对象。</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追缴违规领取残疾人“两项补贴”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1.确认违规领取残疾人“两项补贴”人员信息；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3.对拒不返还违规领取残疾人“两项补贴”人员依法进行追缴。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1.送达违规领取残疾人“两项补贴”追缴通知单；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2.登记拒不返还违规领取残疾人“两项补贴”人员台账；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3.上报拒不返还违规领取残疾人“两项补贴”人员名单。</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追缴违规领取的特困供养金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1.通过省信息核对平台，筛查出可能存在违规领取特困供养金人员信息并反馈给乡镇；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2.对乡镇上报的拒不返还违规领取特困供养金的人员依法追缴冒领款物；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1.对反馈的可能存在违规领取特困供养金人员进行核实；                                                                           2.送达违规领取特困供养金人员的追缴通知单，并责令退回冒领款物；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3.登记拒不返还违规领取特困供养金人员台账；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4.上报拒不返还违规领取特困供养金人员名单。</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退役军人法律援助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联合司法局开展退役军人法律援助服务。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1.收集上报退役军人法律援助帮扶需求信息；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2.协助开展退役军人法律援助服务。</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退役军人优抚对象二次医疗救助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1.审核退役军人优抚对象二次医疗救助申请材料；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2.发放救助金至退役军人优抚对象个人账户。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1.宣传退役军人优抚对象二次医疗救助政策；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2.指导申请人填写退役军人优抚对象二次医疗救助材料；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3.初审退役军人优抚对象救助申请材料；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4.上报退役军人优抚对象救助申请材料。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退役军人优待证办理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1.审核、上报退役军人优待证申报材料；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2.分发优待证。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1.受理退役军人优待证申请；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2.申报退役军人优待证材料；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3.发放退役军人优待证。</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评估特困集中供养人员生活自理能力</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1.由县民政和退役军人事务局、乡镇、村民委员会等人员组成不少于3人评估小组或委托第三方进行评估；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2.对入住敬老院特困供养人员生活自理能力测评。</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协助开展特困供养人员生活自理能力评估。</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孤儿免费入学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1.下达孤儿学校招生计划及政策；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2.审核孤儿助学入学申请材料；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3.签订孤儿助学四方协议。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2.提供孤儿入学手续代办服务。</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控辍保学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县教育和体育局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1.结合日常工作开展走访，对发现的家庭经济困难、残疾人、外来务工人员、留守儿童等弱势家庭学生纳入控辍重点，帮助其解决生活上的困难及时劝返回校复学；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2.对重点人员和复学学生不定期入户回访，了解当前复学情况。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1.宣传义务教育政策；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2.定期对各学校控辍保学工作进行检查；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3.采取措施防止适龄儿童辍学。</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规范村级组织机制事务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县委社会工作部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1.协调相关部门指导督促清理村（社区）违规加挂牌子；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2.明确村级组织工作事务、证明事项规范标准。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2.指导村（社区）规范村级组织工作事务、证明事项。</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三、平安法治（2项）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“三官一律”进网格活动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1.组建“三官一律”人员队伍；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2.协调“三官一律”人员开展法律咨询、矛盾纠纷化解。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1.宣传“三官一律”政策；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2.公示“三官一律”人员信息。</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社区矫正工作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1.审前调查对拟适用社区矫正的被告人、罪犯进行调查评估；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2.登记社区矫正对象信息，告知前往报到；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3.组织开展业务技能、管理教育培训；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4.对心理障碍及未成年人提供心理疏导；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5.对违反社区矫正规定的对象进行处置；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6.审查到期社区矫正对象卷宗，开具解矫证明、解矫宣告书。</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1.入户走访社区矫正对象；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2.接收法院判决书、监狱决定书；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3.接收社区矫正对象；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4.建立社区矫正对象台账；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5.对生活困难矫正对象提供救助帮扶服务；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6.开展社区矫正对象日常监督；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7.上报违反社区矫正管理规定的对象名单；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8.代发解矫证明、解矫宣告书。</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四、乡村振兴（29项）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耕地撂荒整治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1.审核撂荒耕地排查数据、复耕复种补充材料；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2.对耕地撂荒情况进行整治。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1.指导村级管理员统计撂荒耕地排查数据；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2.指导各村收集复耕复种补充材料；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3.初审上报撂荒耕地排查数据、复耕复种补充材料。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“大棚房”问题整治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3.验收“大棚房”整治情况。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1.排查上报“大棚房”问题台账；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2.协助整治“大棚房”问题。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“雨露计划”补助办理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1.核对“雨露计划”补助申请材料；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2.拨付“雨露计划”补助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1.宣传“雨露计划”补助政策；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2.排查上报符合“雨露计划”补助政策的高职学生情况；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3.发放“雨露计划”补助。</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光伏分红</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2.拨付光伏分红资金。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1.制定上报光伏收益分配方案；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2.发放光伏分红资金。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小额信贷贴息业务办理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1.审核信贷材料，确定信贷人员名单；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2.下发政府贴息信息；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3.整理“红黄蓝”还款预警台账；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4.审核核销材料。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1.宣传小额信贷政策；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2.指导符合条件的信贷人员授信；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3.上报信贷人员授信材料；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4.指导信贷人员办理小额信贷；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5.公示小额信贷上级政府贴息情况；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6.提醒小额信贷人员还款；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7.初审上报死亡人员核销材料。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科技特派员送“技”下乡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选派科技特派员等专家，为种植大户、脱贫户、监测对象提供技术指导。</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引导科技特派员为种植大户、脱贫户、监测对象提供技术指导。</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庭院经济产业项目奖励补贴办理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1.审核庭院经济奖励补贴材料；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2.拨付庭院经济产业项目奖励补贴。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1.宣传庭院经济产业项目奖励政策；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2.受理庭院经济产业项目奖励补贴申请；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3.申报庭院经济产业项目奖励补贴材料；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4.发放庭院经济产业项目奖励补贴。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未享受低保脱贫人口医保补贴办理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1.审核未享受低保脱贫人口医保补贴材料；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2.拨付未享受低保脱贫人口医保补贴。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1.申报未享受低保脱贫人口医保补贴；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2.发放未享受低保脱贫人口医保补贴。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脱贫人口和监测对象外出务工交通补贴办理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2.拨付脱贫人口和监测对象外出务工交通补贴。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1.宣传脱贫人口和监测对象外出务工交通补贴政策；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4.发放脱贫人口和监测对象外出务工交通补贴。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监测对象医疗救助资金办理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2.拨付监测对象医疗救助金。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1.受理监测对象医疗救助申请；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3.发放监测对象医疗救助金。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加厚降解地膜补贴办理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2.拨付加厚降解地膜补贴。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1.宣传科学使用加厚降解地膜政策；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2.指导村民填写加厚降解地膜补贴申请；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4.发放加厚降解地膜补贴。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实施“一喷多促”项目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1.审核确定“一喷多促”面积；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2.聘请第三方无人机作业；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3.验收“一喷多促”飞药情况。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1.调查上报“一喷多促”实施面积；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2.监督“一喷多促”作业。</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动物强制免疫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1.检测强制免疫对象样本；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2.发放动物疫苗。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1.制定动物疫病防控采样计划；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2.入户采集动物疫病样本；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3.对采样结果不达标免疫对象注射疫苗；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4.对未免疫动物强制注射疫苗。</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种粮农民一次性补贴办理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1.审批种粮农民一次性补贴申请材料；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2.拨付种粮农民一次性补贴。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1.宣传种粮农民一次性补贴政策；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2.受理种粮农民一次性补贴申请；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3.申报种粮农民一次性补贴；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4.发放种粮农民一次性补贴。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玉米、大豆、稻谷生产者补贴办理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2.拨付玉米、大豆、稻谷生产者补贴。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1.宣传玉米、大豆、稻谷生产者补贴政策；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2.受理玉米、大豆、稻谷生产者补贴申请；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3.申报玉米、大豆、稻谷生产者补贴；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4.发放玉米、大豆、稻谷生产者补贴。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耕地地力保护补贴办理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2.拨付耕地地力保护补贴。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1.宣传耕地地力保护补贴政策；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2.受理耕地地力保护补贴申请；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3.申报耕地地力保护补贴；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4.发放耕地地力保护补贴。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生物有机肥补贴办理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1.审批生物有机肥补贴申请材料；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2.拨付生物有机肥补贴。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1.宣传生物有机肥补贴政策；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2.受理生物有机肥补贴申请；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3.申报生物有机肥补贴；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4.发放生物有机肥补贴。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“粮改饲”补贴办理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1.审批发放“粮改饲”补贴申请材料；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2.拨付“粮改饲”补贴。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1.宣传“粮改饲”补贴政策；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2.受理“粮改饲”补贴申请；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3.申报“粮改饲”补贴；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4.发放“粮改饲”补贴。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特色种植产业补贴办理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1.审批特色产业种植面积材料；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2.发放特色产业补贴。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申报特色产业种植面积材料。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高油高产高蛋白大豆补贴办理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1.审批高油高产高蛋白大豆补贴申请材料；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2.拨付高油高产高蛋白大豆补贴。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1.宣传高油高产高蛋白优质大豆补贴政策；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2.受理高油高产高蛋白优质大豆补贴申请；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3.申报高油高产高蛋白优质大豆补贴；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4.发放高油高产高蛋白大豆补贴。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免费发放优质肉牛冻精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1.审核繁改站（员）免费优质肉牛冻精使用的申请。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2.为符合条件的繁改站（员）发入免费优质肉牛冻精，提供给养殖户免费使用。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1.宣传优质肉牛冻精免费发入使用政策；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2.受理繁改站（员）免费优质肉牛冻精使用的申请并提交畜牧总站审核；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3.协助畜牧总站为符合条件的繁改站（员）发放免费优质肉牛冻精，提供给养殖户免费使用。</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农产品质量安全监测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组织监测取样，反馈监测情况。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1.宣传农产品质量安全法律法规；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2.协助农产品质量安全监测。</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土壤抽样普查</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组织土壤抽样普查，评估确定耕地质量。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1.排查上报土壤抽样采样点；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2.引导部门到土壤采集点开展工作。</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监测土壤墒情</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测定地块土壤墒情样本并反馈结果。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1.制定土壤墒情地块踏查方案；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2.踏查土壤墒情地块；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3.采集上报土壤墒情样本；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4.通知村民土壤墒情检测结果。</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农业灾情应急处置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县气象局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1.负责统计、核实、汇总、上报乡镇的农业灾情数据；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2.负责农业抗灾救灾恢复生产技术指导工作；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县气象局：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负责开展农业灾情预警工作。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1.宣传农业灾情预警信息；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3.协助农业灾后恢复生产技术指导；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4.推广政策性农业保险。</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处理农村饮水安全突发事件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指导、监督各乡镇对涉事地点抢修。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1.摸排上报农村饮水安全突发事件情况；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2.协助处理农村饮水安全突发事件。</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水利工程建设和水利设施维护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2.核实、确认损坏问题；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3.维修水利项目。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2.排查已建成水利工程超运行年限情况;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3.上报无法自行维修的水利项目。</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农村户用卫生厕所改造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1.汇总农村户用卫生厕所改造户名单；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2.组织验收农村户用卫生厕所改造工程；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3.拨付资金。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1.宣传农村厕所改造政策；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3.聘请第三方对农村户用卫生厕所改造施工;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4.协助农村户用卫生厕所改造验收;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5.申请农村户用卫生厕所改造资金;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6.支付农村户用卫生厕所改造费用。</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处置动物医疗废弃防疫物资</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1.下发建立动物医疗防疫废弃物回收点要求；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2.回收动物医疗防疫废弃物，集中销毁处理。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1.设立废弃动物医疗防疫物资回收点；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2.协助回收动物医疗废弃防疫物资。</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五、社会管理（1项）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拆除违规安装的地面接收器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2.组织实施拆除违规安装的地面接收器。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2.协助实施拆除违规安装的地面接收器。</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六、自然资源（12项）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设施农用地建设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1.审核材料，备案信息；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2.组织实地踏查基本农田设施农用地。</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1.审批上报设施农用地备案材料；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2.组织实地踏查基本农田以外的设施农用地；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3.协助实地踏查基本农田设施农用地。</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流出耕地找回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2.处置耕地流出违法行为。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1.排查流出耕地找回违法行为；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2.上报流出耕地找回违法问题台账。</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基本农田流出找回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2.处置基本农田流出违法行为。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1.排查基本农田流出找回违法行为；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2.上报基本农田流出找回违法问题台账。</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退耕还林补贴办理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1.审核批复退耕还林项补贴申请材料；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2.拨付退耕还林补贴资金。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1.统计退耕还林地块信息；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2.汇总、上报退耕还林补贴申请材料；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3.发放退耕还林项目补贴。</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编制村庄规划</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审核村庄规划编制材料。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1.聘请第三方编制村庄规划；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2.汇总上报村庄规划材料。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国土空间数据收集监测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组织国土空间数据收集监测。</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协助国土空间数据收集监测。</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安装农村饮用水水表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组织专业人员安装水表。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组织各村协助安装水表。</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维修林业标志</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1.实地查看林业标志毁坏情况；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2.组织维修林业标志。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1.收集上报毁坏的林业标志情况；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2.协助维修林业标志。</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林木采伐管理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1.审核、下达采伐指标；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2.批复林木采伐申请；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3.核发林木采伐许可证；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4.抽查、验收采伐地块；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5.核实采伐后森林资源变化情况；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6.抽查采伐迹地更新造林情况。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1.公示、分配采伐指标；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2.初审、上报林木采伐申请；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3.指导林户办理林木采伐许可证，出具采伐作业告知书；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4.与林户签订采伐作业质量保证书；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5.监督林木采伐情况，组织开展验收；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6.更新、上报采伐后森林资源档案；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7.监督采伐迹地更新造林情况；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8.组织开展林木采伐验收。</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林地卫星图斑整治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1.下发问题图斑情况；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2.整治林地卫星图斑问题。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1.核实反馈林地卫星图斑问题情况；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2.协助整治林地卫星图斑问题。</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征地补偿款发放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拨付征地补偿款资金。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代发征地补偿款。</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处理集体与国有林木林地所有权和使用权争议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1.受理争议双方申请；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2.审核集体林木林地所有权和使用权佐证材料材料；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3.确定林地所有权和使用权。</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1.提供集体林木林地所有权和使用权佐证材料；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2.协助村调解集体林木林地所有权和使用权争议。</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七、生态环境（15项）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整治固体废物污染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核实认定固体废物污染问题，下达责令限期整改等整治通知。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排查上报固体废物污染情况。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整治入河排污口污染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核实认定入河排污口污染问题，下达责令限期整改等整治通知。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排查上报入河排污口污染情况。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整治农村黑臭水体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核实认定农村黑臭水体问题，下达责令限期整改等整治通知。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排查上报农村黑臭水体情况。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整治农村生活污水问题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核实认定农村生活污水问题，下达责令限期整改等整治通知。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排查上报农村生活污水情况。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整治大气污染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组织普及大气污染防治知识，制定大气污染防治工作计划，指导大气污染防治工作。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1.普及大气污染防治知识；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2.排查上报大气污染情况。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土壤污染防治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
县农业农村局
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县生态环境分局：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1.负责土壤及地下水环境监督管理，承担土壤环境保护职责；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2.贯彻执行土壤污染防治方针政策和管理制度；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3.做好疑似污染地块和污染地块安全利用监管，开展土壤污染风险管控和修复管理；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4.贯彻落实工业用地和经营性用地土壤环境保护管理制度；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1.依据工业用地和经营性用地土壤环境保护管理制度开展土地流转程序；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1.对耕地环境监测点的土壤和农产品进行例行监测；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2.开展受污染耕地分类管理和安全利用工作；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3.对未利用地、复垦土地等拟开垦为耕地的，开展土壤污染状况调查；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负责减少区域生活点源污染，提高生活废物处置能力，推进生活垃圾无害化处置。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1.宣传土壤污染防治法律法规；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2.普及土壤污染防治知识；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3.日常巡查土壤污染情况；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4.劝阻土壤污染行为；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5.上报劝阻无效的土壤污染情况。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辐射事故应急处置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1.评估辐射情况；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2.组织处置辐射事故。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1.排查上报辐射事故情况；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2.协助处置辐射事故。</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处置环保违法问题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2.处罚环保违法行为。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1.受理上报环保违法问题线索；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2.协助处罚环保违法行为。</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处理突发环境事件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2.组织处置突发环境事件。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2.协助处理突发环境事件。</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无害化处理病死畜禽</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1.分析病死畜禽情况；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2.组织无害化处理病死畜禽。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2.协助无害化处理病死畜禽。</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整治河道“四乱”</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1.处置拒不整改的“四乱”问题；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2.依法督促整治。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1.摸排河道乱占、乱采、乱堆、乱放问题；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2.制止河道“四乱”行为；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3.上报拒不整改河道“四乱”情况。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整治河道违法违规行为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依法处置河道违法违规行为。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1.摸排河道违法违规行为；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3.上报河道违法违规情况。</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河道清理疏浚</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1.批复河道清理疏浚申请；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2.组织开展河道清理疏浚活动。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1.排查上报申报浚情况；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2.协助开展河道疏浚行动。</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处置涉林违法行为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1.核实涉林违法行为情况；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2.调查处置涉林违法行为。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1.排查上报涉林违法情况；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2.协助处置涉林违法行为。</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农药包装废弃物回收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1.下发建立农药包装废弃物回收点要求；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2.查看农药包装废弃物回收情况；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3.回收转运农药包装废弃物。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1.建立农药包装废弃物回收点；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2.协助查看农药包装废弃物回收情况。</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八、城乡建设（9项）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耕地违规建筑整治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2.对耕地违规建筑进行整治。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2.协助整治耕地违规建筑行为。</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农村危房改造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1.确定下发农村危房清单；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3.组织实施危房改造；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4.定期组织巡检危房改造进度；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5.组织实施危房改造验收。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1.宣传农村危房改造政策；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2.排查上报农村危房情况；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4.协助定期巡查农村危房改造进度；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5.协助农村危房改造验收；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6.整理上报农村危房改造材料。</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农村建筑能效改造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1.审核农村建筑能效改造申请材料；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1.宣传能效提升改造政策；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2.受理上报能效提升改造申请材料；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3.协助能效提升改造。</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农村清洁能源改造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1.宣传农村清洁能源改造政策；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3.协助实施清洁能源改造。</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农村灾损房屋改造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
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1.下放因灾倒损房屋改造通知；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2.核实确定灾损房屋信息；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3.聘请第三方机构鉴定因灾倒损房屋安全等级和损毁情况；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3.协调相关部门验收因灾倒损房屋修缮，重建情况。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验收通过后，拨付农村灾损房屋修缮资金。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1.排查上报灾损房屋情况；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2.指引第三方实地鉴定因灾倒损房屋等级；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3.指引部门工作人员实地验收因灾倒损房屋修缮、重建情况；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4.发放修缮农村灾损房屋资金。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农村供水管网改造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2.实施本部门争取资金的农村供水管网改造项目。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2.实施本乡镇争取资金的农村供水管网改造项目。</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行政村命名更名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审核行政村命名更名申请材料并批复。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1.指导村召开村命名更名会议；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2.编制村命名更名方案；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3.收集上报行政村命名更名申请材料；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4.组织村公示命名更名信息。</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地名标志维护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1.实地踏查地标情况；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2.组织人员维护地标。</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协助维护地名标志。</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无名道路命名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审核无名道路命名材料并批复。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1.指导村召开村无名道路命名会议；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2.编制村无名道路命名方案；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3.收集上报村无名道路命名材料；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4.组织村公示无名道路命名信息。</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九、交通运输（2项）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农村公路养护、修缮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1.核实农村公路安全隐患情况；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2.组织实施农村公路养护、修缮。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1.排查上报公路隐患情况；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2.协助实施农村公路养护、修缮。</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处置违规占道行为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2.组织处置违规占道行为。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1.排查劝导违规占道行为；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3.协助处置违规占道行为。</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十、文化和旅游（2项）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文物普查与文物保护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1.组织实施文物普查；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2.指导乡镇文物保护工作。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1.落实文物保护属地责任制；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2.上报发现的文物线索；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3.协助实施文物普查。</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安装应急广播设备</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1.组织乡镇征集应急广播设备安装选址意见；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2.汇总、研判选址意见，确定安装地点；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3.订购设备，组织人员安装。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收集上报应急广播设备安装选址意见。</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十一、卫生健康（1项）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走访慰问失独家庭</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县卫生健康和医疗保障局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2.走访慰问失独家庭。</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2.协助走访慰问失独家庭。</w:t>
            </w:r>
          </w:p>
        </w:tc>
      </w:tr>
      <w:tr>
        <w:tblPrEx>
          <w:tblCellMar>
            <w:top w:w="0" w:type="dxa"/>
            <w:left w:w="108" w:type="dxa"/>
            <w:bottom w:w="0" w:type="dxa"/>
            <w:right w:w="108" w:type="dxa"/>
          </w:tblCellMar>
        </w:tblPrEx>
        <w:trPr>
          <w:cantSplit/>
          <w:trHeight w:val="480" w:hRule="atLeast"/>
        </w:trPr>
        <w:tc>
          <w:tcPr>
            <w:tcW w:w="140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十二、应急管理及消防（11项）</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冬春救助办理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1.审核冬春救助申请材料；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2.拨付冬春救助资金。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1.统计冬春救助情况；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2.申报冬春救助材料；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3.发放冬春救助资金。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居民住宅燃气安全隐患整治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1.核实居民住宅燃气安全隐患情况；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2.组织整治居民住宅燃气安全隐患。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1.排查上报居民燃气安全隐患情况；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2.协助整治居民住宅燃气安全隐患。</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自然灾害防范处置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1.指导乡镇建立灾害应急预案和调度方案；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3.汇总风险隐患点清单，分析研判风险形势；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4.督促建立抢险救援队伍；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5.督促开展人防、物防、技防等日常演练；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6.汇总低洼易涝点、江河堤防等各类风险隐患点情况；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8.组织值班值守，汇总、处置灾害信息；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9.指导督促转移安置受灾群众；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10.审核、下拨救灾资金，交乡镇发放；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11.调度、下拨救灾物资，交乡镇发放；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12.指导受灾群众恢复灾后生产生活。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1.制定自然灾害应急预案和调度方案；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3.普及应对自然灾害自救常识；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4.填报辖区风险隐患点清单；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5.组建抢险救援队伍，组织防灾减灾救灾培训；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7.开展辖区内低洼易涝点、江河堤防、山塘水库、山洪和地质灾害危险区等各类风险隐患点巡查巡并上报清单；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9.组织人员值班值守、报送灾害信息；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10.出现险情时，及时组织受灾害威胁的居民及其他人员转移到安全地带；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11.发生灾情时，组织转移安置受灾群众；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12.受理自然灾害救助资金申请；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13.核实、上报申请人受灾情况；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14.将审核通过的受灾申请人信息录入系统；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15.代发自然灾害救助资金；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16.接收、发放上级下拨的救灾物资；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17.组织灾后受灾群众恢复生产生活。</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安全生产监管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1.各行管部门组织开展各自安全生产知识普及活动；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2.各行管部门指导乡镇开展各自安全生产应急演练；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3.各行管部门组织开展各自“九小场所”等生产经营性单位的安全生产检查；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4.各行管部门组织开展各自行管生产经营性单位定期安全生产检查；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5.各行管部门发现各自问题，责令整改；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6.各行管部门组织开展各自行管生产经营性单位安全生产隐患整改情况检查，处置整改不到位、拒不整改行为；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7.接收、核实乡镇上报的安全生产事故信息,指导乡镇启动应急预案并报上级部门；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8.勘察、处置事故现场。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1.组织召开安全生产工作部署会议；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2.组织召开安全生产情况分析研判会议；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3.组织召开安全生产情况述职会议；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4.组织建立安全生产应急工作队伍；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5.编制安全生产应急预案；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6.指导各村制定应急事项处置方案；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7.指导生产经营单位落实安全生产责任；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8.组织开展燃气安全宣传活动；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9.组织焊接与切割从业人员参加安全教育培训；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10.组织开展焊接与切割作业安全宣传活动；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11.组织“安全生产月”和“白山松水安全行”宣传活动；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12.组织开展安全生产法律法规宣传活动；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13.组织观看燃气安全科普直播；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14.组织开展安全生产应急演练；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15.组织人员参与“九小场所”的燃气、醇基、经营性自建房、大跨度结构经营性场所、有限空间作业的安全生产检查；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16.组织人员参与企业、文旅场所、光伏电站等生产经营性单位的安全生产检查；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17.组织人员参与定期安全生产检查；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18.督促提醒生产经营性单位整改隐患；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19.组织人员参与安全生产隐患整改情况检查；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20.上报突发安全生产事故情况；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21.启动安全生产应急预案；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22.先期处置突发安全生产事故并组织群众撤离。</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消防安全监管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县消防大队</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1.指导乡镇制定消防应急预案；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2.指导乡镇开展消防应急演练；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3.安排消防派驻文员排查易发现、易处置公共场所消防安全隐患，及时制止易发现、易处置公共场所消防安全问题；</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4.发生火情时，组织疏散群众，处置火情；</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5.组织处置拒不整改问题。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1.落实消防安全责任制，制定消防安全制度、消防应急预案；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2.动态研判消防安全形势，研究部署消防工作，组织开展消防应急演练；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3.组织人员参与易发现、易处置公共场所消防安全隐患排查；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4.制止易发现、易处置公共场所消防安全隐患，发现无法彻底整改的消防隐患及时上报；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5.发生火情及时组织群众疏散；</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6.指导村（社区）确定消防安全管理人，制定防火公约，根据需要建立志愿消防队等多种形式的消防组织。</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森林草原防灭火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1.指导乡镇制定森林草原防灭火应急预案；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2.指导乡镇开展森林防灭火演练；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3.检查值班值守情况；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4.指导乡镇划分防灭火工作网格，组建半专业扑火队，明确工作责任；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5.指导乡镇建立防灭火物资库、管理防灭火物资；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6.发生火情时，调度火情及初期扑救情况，处置未扑灭森林火灾。</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1.宣传森林防灭火政策法规；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2.召开森林防火春秋两季动员部署会；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3.制定森林防灭火实施方案；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4.制定森林火灾应急预案；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5.签订政企联防协议；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6.组织森林草原防灭火演练；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7.设立防火检查卡点；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8.监督检查防火卡点值守情况；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9.落实防火期值班值守任务；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10.划分防灭火工作网格；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11.组建半专业扑火队伍；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12.落实半专业扑火队值班制度；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13.建立森林草原防灭火物资库；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14.管理森林草原防灭火物资；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15.向各村公布火险预警；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16.发现火情，上报森林草原火灾地点、火势大小、人员被困情况等信息；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17.在火势较小、保证安全的前提下，先行组织进行初期扑救。</w:t>
            </w:r>
          </w:p>
        </w:tc>
      </w:tr>
      <w:tr>
        <w:tblPrEx>
          <w:tblCellMar>
            <w:top w:w="0" w:type="dxa"/>
            <w:left w:w="108" w:type="dxa"/>
            <w:bottom w:w="0" w:type="dxa"/>
            <w:right w:w="108" w:type="dxa"/>
          </w:tblCellMar>
        </w:tblPrEx>
        <w:trPr>
          <w:cantSplit/>
          <w:trHeight w:val="179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水毁工程项目维修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1.审核水毁工程项目申报材料；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2.实地查看水利工程毁坏情况；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3.负责项目申报、向上争取资金、组织项目实施维修。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1.受理各村维修水毁项目申请材料；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2.审核维修水毁项目材料可行性；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3.上报水毁项目修复申请。</w:t>
            </w:r>
          </w:p>
        </w:tc>
      </w:tr>
    </w:tbl>
    <w:p>
      <w:pPr>
        <w:pStyle w:val="3"/>
        <w:spacing w:before="0" w:after="0" w:line="240" w:lineRule="auto"/>
        <w:jc w:val="center"/>
        <w:rPr>
          <w:rFonts w:ascii="Times New Roman" w:hAnsi="Times New Roman" w:eastAsia="方正小标宋_GBK" w:cs="Times New Roman"/>
          <w:color w:val="auto"/>
          <w:spacing w:val="7"/>
          <w:lang w:eastAsia="zh-CN"/>
        </w:rPr>
      </w:pPr>
      <w:bookmarkStart w:id="12" w:name="_GoBack"/>
      <w:bookmarkEnd w:id="12"/>
      <w:r>
        <w:rPr>
          <w:rFonts w:ascii="Times New Roman" w:hAnsi="Times New Roman" w:eastAsia="方正小标宋_GBK" w:cs="Times New Roman"/>
          <w:color w:val="auto"/>
          <w:spacing w:val="7"/>
          <w:lang w:eastAsia="zh-CN"/>
        </w:rPr>
        <w:br w:type="page"/>
      </w:r>
      <w:bookmarkStart w:id="8" w:name="_Toc172533654"/>
      <w:bookmarkStart w:id="9" w:name="_Toc172077951"/>
      <w:bookmarkStart w:id="10" w:name="_Toc172077418"/>
      <w:bookmarkStart w:id="11" w:name="_Toc172077553"/>
      <w:r>
        <w:rPr>
          <w:rFonts w:hint="eastAsia" w:ascii="Times New Roman" w:hAnsi="Times New Roman" w:eastAsia="方正公文小标宋" w:cs="Times New Roman"/>
          <w:b w:val="0"/>
          <w:lang w:eastAsia="zh-CN"/>
        </w:rPr>
        <w:t>上级部门收回事项清单</w:t>
      </w:r>
      <w:bookmarkEnd w:id="8"/>
      <w:bookmarkEnd w:id="9"/>
      <w:bookmarkEnd w:id="10"/>
      <w:bookmarkEnd w:id="11"/>
    </w:p>
    <w:tbl>
      <w:tblPr>
        <w:tblStyle w:val="8"/>
        <w:tblW w:w="14045" w:type="dxa"/>
        <w:tblInd w:w="0" w:type="dxa"/>
        <w:tblLayout w:type="autofit"/>
        <w:tblCellMar>
          <w:top w:w="0" w:type="dxa"/>
          <w:left w:w="108" w:type="dxa"/>
          <w:bottom w:w="0" w:type="dxa"/>
          <w:right w:w="108" w:type="dxa"/>
        </w:tblCellMar>
      </w:tblPr>
      <w:tblGrid>
        <w:gridCol w:w="726"/>
        <w:gridCol w:w="4990"/>
        <w:gridCol w:w="8329"/>
      </w:tblGrid>
      <w:tr>
        <w:tblPrEx>
          <w:tblCellMar>
            <w:top w:w="0" w:type="dxa"/>
            <w:left w:w="108" w:type="dxa"/>
            <w:bottom w:w="0" w:type="dxa"/>
            <w:right w:w="108" w:type="dxa"/>
          </w:tblCellMar>
        </w:tblPrEx>
        <w:trPr>
          <w:cantSplit/>
          <w:trHeight w:val="658" w:hRule="atLeast"/>
          <w:tblHead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序号</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事项名称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承接部门及工作方式</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一、平安法治（3项）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出具法律援助经济状况证明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承接部门：县委政法委县司法局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工作方式：根据《法律援助法》相关规定，不再开展此项工作。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开展摩托车、人力三轮车、残疾人机动轮椅及装配动力装置的无牌无证车辆管理整治工作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1.公安局交通管理大队与交通运输局等相关部门组成联合工作小组；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2.通过社区摸牌、重点人员密集场所设点检查等工作方式，加强上述车辆及违法行为的查处力度，按照《中华人民共和国道路交通安全法》及相关法律法规规定开展处罚工作。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处罚不文明养犬行为</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1.在首次发现群众不文明养犬行为的，由治安大队、边管大队、各边境派出所下达整改通知书进行告诫；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2.在发现群众第二次或以上不文明养犬行为的，由治安大队、边管大队、各边境派出所按照《白山市养犬管理条例》规定予以处罚。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二、乡村振兴（18项）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食用菌菌种生产经营许可</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1.行政相对人提出申请；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2.受理、审核行政相对人申请材料；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3.发放食用菌菌种生产经营许可证。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对农药经营者未取得农药经营许可证经营农药，经营假农药，在农药中添加物质，取得农药经营许可证的农药经营者不再符合规定条件继续经营农药的处罚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调查处理未按照规定及时回收农药包装废弃物交由专门的机构或者组织进行无害化处理案件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3.下达处罚决定。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收割机、拖拉机等农机技能操作培训</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1.汇总培训人员名单；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2.组织人员进行培训。</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规模以下畜禽养殖废弃物综合利用指导和服务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1.畜牧业管理中心根据省畜牧局确定的畜禽粪污资源化利用主推技术，结合县域实际确定主推技术；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2.畜牧业管理中心组织乡镇畜牧兽医工作人员和村级防疫员开展畜禽粪污资源化利用培训，由乡镇畜牧工作人员入户指导；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3.畜牧业管理中心联合各乡镇综合服务中心（畜牧科)对辖区内的畜禽养殖户现场进行技术指导，确保畜禽粪污有效利用。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乡镇引导县农业农村局相关工作人员到现场进行技术指导。</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农业机械安全监督检查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1.对农业机械安全监督检查；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2.发现问题并处理。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拖拉机、联合收割机登记、证书和牌照核发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2.审核确认后发放拖拉机、联合收割机登记、证书和牌照。</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拖拉机、联合收割机操作人员操作证件核发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2.审核确认后发放拖拉机、联合收割机操作人员操作证件。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对推广惠农类APP的考核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工作方式：落实党中央精简优化基层考核有关要求，不再开展此项工作。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对培育新增休闲农业经营主体任务的考核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3.报上一级组织考核。</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动物疫情信息采集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1.畜牧业管理中心通过主动监测信息采集、被动报告信息采集，接收养殖场户、屠宰企业、动物诊疗机构、社会公众等的疫情报告；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2.畜牧业管理中心对报告的疫情信息进行详细记录，及时核实报告信息的真实性和准确性；​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3.畜牧业管理中心对存在问题的信息进行样品采集，对采集的动物样本及时进行实验室检测，为疫情诊断提供科学依据；​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4.畜牧业管理中心流行病学调查信息采集，当发现疑似或确诊动物疫情时，及时开展流行病学调查，分析疫情传播链和可能的扩散范围。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动物及动物产品检疫</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1.畜牧业管理中心受理申请人提出的申请；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2.畜牧业管理中心官方兽医进行检疫；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3.畜牧业管理中心出具检疫证。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组织收集、处理并溯源在江河、湖泊、水库等水域发现的死亡畜禽</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1.接受举报或检查过程中发现死亡畜禽相关单位第一时间上报县政府，由县政府指派收集单位；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派单位及时开展收集和溯源工作，并及时通报县畜牧业管理中心。由畜牧业管理中心指派农业综合执法大队（畜牧）进行无害化处理指导，并配合指派单位开展溯源，对未按照规定随意弃置病死动物养殖场户由农业综合执法大队（畜牧）按照《动物防疫法》规定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3.病死畜禽收集、无害化处理工作按照就近处理的原则，由农业综合执法大队（畜牧）做好防疫评估，确定处理场所，指导指派单位做好人员防护和消毒，及时开展车辆、相关工具及作业环境进行消毒；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4.在城市公共场所和乡村发现的死亡畜禽，依法由所在地街道办事处、乡级人民政府组织收集、处理并溯源。并按本流程第2条要求开展无害化处理工作。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畜牧品种试验和推广应用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1.畜牧业管理中心根据省畜牧业主推技术和主推品种，结合实际畜牧业发展的基本情况，依托畜牧业科技示范基地开展畜牧业主推技术和主推品种示范推广工作；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2.畜牧业管理中心通过开展培训和技术讲座、组织实地观摩活动、制作宣传手册等方式，提高畜牧新技术和畜禽品种推广的宣传力度，重点推广优质品种以及高产高效养殖技术，为基层养殖户提供科技帮扶；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乡镇畜牧业技术人员在入户技术指导中宣传推广新品种、新技术，组织本地养殖户参加相关培训和观摩活动，推动畜牧技术推广的持续和发展。</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水产公共信息和水产技术宣传教育、培训服务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1.制作宣传材料；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2.开展水产公共信息和水产技术宣传教育、培训服务。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开展惠民保征缴工作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对惠民保征缴工作的考核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农产品产地冷藏保鲜设施建设</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3.报上一级组织审核。</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三、社会管理（6项）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对完成城镇新增就业人数任务的考核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1.由市就业局发布工作考核指标；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2.结合实际情况向各乡镇分配任务数，督促各乡镇完成考核任务。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创业实体信息及就业务工信息统计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1.网上受理企业提出的用工备案申请；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2.对符合要求的，审核通过；对不符合要求的，提出修改补正意见，并反馈企业。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高校应届毕业生生源信息核查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1.根据市人才交流部门下发本年度高校毕业生数据核查高校应届毕业生生源信息；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2.统计上报高校毕业生源核查情况。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对违规领取80岁以上高龄津贴的追缴</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1.接受举报或检查过程中发现违规领取高龄津贴问题，立即联系医疗、公安部门进行信息比对核实；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2.确定违规领取金额，联系津贴发放数据信息中老人直系亲属的联系人，告知其违规领取及回退津贴事宜；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3.追缴违规领取款项并上缴财政。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出具婚姻状况证明（婚姻关系证明、分居证明）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社区社会组织备案管理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1.社区社会组织发起人向县民政和退役军人事务局提出申请；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2.民政和退役军人事务局进行备案，社区社会组织提供备案材料；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3.在收到全部有效材料之日起七日内出具同意或不同意备案的意见书。</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四、自然资源（9项）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土地征收、征用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1.发布征收土地预公告并开展拟征收土地现状调查和社会稳定风险评估；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2.依据社会稳定风险评估结果，结合土地现状调查情况，组织自然资源、财政、农业农村、人力资源和社会保障等有关部门拟定征地补偿安置方案，并发布补偿安置方案公告；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3.组织补偿登记，拟征收土地的所有权人、使用权人应在公告期限内持相关证明到村委会或征收部门办理补偿登记并签订征收补偿协议；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4.前期工作完成，权属及补偿无任何争议后，由县自然资源部门代县政府进行组卷报有审批权限的人民政府申请土地征收；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5.征收土地申请经依法批准后，自收到批准文件之日起十五个工作日内在政府网站、征收土地所在的乡（镇）政务公开栏和村务公开栏以及村民小组显著位置进行征收土地公告。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开展地质灾害隐患判定、治理工作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1.组织开展新增隐患点的申报工作；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2.对申报的隐患点进行实地调查，收集相关数据和信息；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3.组织专家对调查结果进行论证，确定隐患点的存在与否及其危险程度；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4.根据论证结果，对确认的隐患点进行登记和记录；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5.将确认的隐患点信息向社会公开，接受监督。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对未经批准或者未按照批准的取水许可规定条件取水的处罚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1.接到举报或检查后，指定专人调查；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2.审查违法事实、证据及法律适用，提出处罚建议；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3.处罚决定生效后按照有关法律程序执行。</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公益林管护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1.组织、指导公益林林权所有者开展公益林管理、管护和检查工作；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2.组织、指导各乡镇人民政府林业部门开展护林人员选聘、考核、公益林保护和补偿资金申报等工作；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3.组织、指导各乡镇人民政府宣传公益林保护法律法规政策，开展公益林管护人员管理和日常公益林管护等工作。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对擅自移动或者毁坏森林保护标志的行政处罚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4.对擅自移动或者毁坏森林保护的标志予以恢复。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对擅自移动或者毁坏林业服务标志的行政处罚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4.对擅自移动或者毁坏林业服务的标志予以恢复。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对破坏或者擅自改变基本农田保护区标志的处罚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3.按照相关法律法规予以处罚；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4.对破坏或者擅自改变的基本农田保护区标志予以恢复。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对单位或者个人，伪造、变卖、买卖、租借采伐许可证的行政处罚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4.没收证件和违法所得。</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印发村牧业用地使用证</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1.确定牧业用地；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2.县自然资源和林业局审核牧业用地；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3.上报材料，县人民政府审核牧业用地使用权；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4.县自然资源和林业局印制发放牧业用地使用证。</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五、生态环保（14项）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对产生、收集、贮存、运输、利用、处置固体废物的单位未依法及时公开固体废物污染环境防治信息的处罚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未经同意在江河、湖泊新建、改建或者扩大排污口的处罚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对从事畜禽规模养殖未及时收集、贮存、利用或者处置养殖过程中产生的畜禽粪污等固体废物的处罚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对施工单位的建筑土方、工程渣土、建筑垃圾未及时清运，或者未采用密闭式防尘网遮盖的行政处罚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对运输煤炭、垃圾、渣土、砂石、土方、灰浆等散装、流体物料的车辆，未采取密闭或者其他措施防止物料遗撒的行政处罚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1.接受举报或巡查中发现，城市建成区范围内未密闭或者其他措施防止物料遗撒的车辆；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1.接受举报或巡查中发现，国道、省道、县道公路范围内未密闭或者其他措施防止物料遗撒的车辆；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对农业投入品生产者、销售者、使用者未按照规定及时回收肥料等农业投入品的包装废弃物、农用薄膜，或者未按照规定及时回收农药包装废弃物交由专门的机构或者组织进行无害化处理的行政处罚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炸鱼、毒鱼、电鱼等破坏渔业资源方法进行捕捞的，违反关于禁渔区、禁渔期的规定进行捕捞的或者使用禁用的渔具、捕捞方法和小于最小网目尺寸的网具进行捕捞或者渔获物中幼鱼超过规定比例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对随意倾倒、抛撒、堆放或者焚烧生活垃圾的行政处罚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代为恢复植被和林业生产条件或代为补种树木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1.明确需要承担恢复或补种责任的单位或个人；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2.对受损区域进行详细的实地勘查，记录受损情况；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3.根据勘查结果，结合当地的自然条件和林业发展规划，制定具体的恢复或补种方案；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4.按照方案要求，对受损的林地进行整理，如平整土地、改良土壤等，恢复其适宜林业生产的条件；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5.根据选定的植被种类和种植方式，进行树苗种植或草种播撒，确保种植质量和密度符合标准；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6.定期对补种的树木和植被进行浇水、施肥、除草、病虫害防治等养护工作，提高成活率和生长质量；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7.在恢复过程中，定期对工作进展和效果进行检查，及时发现问题并采取整改措施。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对森林资源的保护、修复、利用、更新等的监督检查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1.明确检查的范围、内容、方式、时间安排等，确定检查人员和分工；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2.收集造林更新的相关设计方案、基础数据；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3.检查台账资料是否完善，检查属地是否进行采伐迹地更新造林验收等；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过现地查看，检查造林更新是否按审批要求完成任务，包括造林地块、树种、造林方式等是否符合设计；核实更新造林成活率、保存率是否达标；测量实际造林更新面积是否与申报一致；查看造林质量，苗木生长状况、整地质量、抚育管理措施等是否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5.对检查中发现的问题进行梳理和认定向，被检查单位或个人反馈问题，提出整改要求和期限。对整改情况进行跟踪检查，确保问题得到有效整改,对整改不到位的，依法依规进行处理。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对开办生产建设项目或者从事其他生产建设活动，按规定编制水土保持方案的监督检查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1.水利局受理群众举报和所在乡镇移交违（规）法行为线索，对违法地点进行现场核实；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2.水利局初步认定违法事实后，水利局河湖科下发限期整改通知书，责令停止违法行为、限期补办手续；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3.水利局对逾期不补办手续的行为进行处罚；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4.水利局将违法处理结果通报相关乡镇人民政府。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乡镇发现违法行为及时向部门移交线索。</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开展林业有害生物监测、检疫和防治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1.组织、指导开展林业有害生物监测、检疫和防治；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2.组织开展各乡镇人民政府林业有害生物调查资料的统计和上报；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3.组织、指导开展各乡镇人民政府松材线虫病疫情监测、监管平台春季和秋季普查、美国白蛾监测等重大林业有害生物监测工作。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外来入侵物种普查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2.调查结果上报、存档。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1.组织人员开展外来入侵物种监管；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2.监管结果上报、存档。</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六、城乡建设（9项）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对临时建筑物、构筑物和其他设施限期拆除期满仍不拆除的强制拆除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1.对国有建设用地内临时建筑物、构筑物和其他设施拒不停止建设和拆除的，做出责令停止建设或者限期拆除决定；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2.在做出责令停止建设或者限期拆除决定到期后，当事人仍不停止建设或者逾期不拆除的，由县人民政府责成相关部门进行拆除。</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建设工程各类合同及相关备案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对建设单位或者个人未经批准进行临时建设、未按照批准内容进行临时建设，临时建筑物、构筑物超过批准权限不拆除的处罚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1.对违法建筑进行调查，查清违法建设的基本情况。同时，收集相关证据，如现场照片、当事人陈述等；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2.根据工程中标价格、工程承包合同价格等因素确定违法建设工程造价。如果存在异议，可以通过聘请相关专业评估；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3.根据《中华人民共和国城乡规划法》的相关规定，对违法行为进行处罚。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对侵占、毁坏水工程及堤防、护岸等有关设施，毁坏防汛、水文监测、水文地质监测设施等行为的处罚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1.接到举报或相关部门的通报后承办人组织2名以上水政监察员会同相关部门进行调查取证，根据现场情况，听取当事人辩解陈述并作记录；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2.审查案件调查报告，对案件违法事实、证据、调查取证程序、法律适用、处罚种类和幅度、当事人陈述和申辩理由等方面进进审查，提出处理意见；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3.制作行政处罚决定书，载明行政处罚告知、当事人陈述申辩或者听证情况等内容；                               4.行政处罚决定书按法律规定的方式送达当事人；                                                           5.依照生效的行政处罚决定，执行责令改正、没收违法所得、罚款等处罚项目；                                     6.其他法律法规规章规定应履行的责任。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1.县水文勘测大队接到举报或相关部门的通报后承办人进行调查取证；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2.将调查取证情况上报省水利厅；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3.水利厅相关部门依法作出处罚决定。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对建筑垃圾储运消纳场收纳工业垃圾、生活垃圾和有毒有害垃圾的处罚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1.接受举报或巡查中发现建筑垃圾储运消纳场收纳工业垃圾、生活垃圾和有毒有害垃圾；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2.对建筑垃圾储运消纳场下达《限期改正通知书》，并限期整改，整改完成后报主管部门复查；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对未经水行政主管部门批准，占用农业灌溉水源、灌排工程设施的行政处罚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1.接受举报或工程所在乡镇、农业农村局移交的未经水行政主管部门批准，占用农业灌溉水源、灌排工程设施的违法（规）行为；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3.按照《吉林省农村水利管理条例》第四十一条进行处罚；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4.涉及小型农田水利工程的案件处罚结果通报农业农村局。</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开展农村住房安全鉴定评定工作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1.由住建局、乡镇政府，组织专业技术人员、村干部等成立农村住房安全鉴定评定工作小组；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自建房安全等级鉴定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1.由住建局、乡镇政府及第三方鉴定机构、村干部等成立自建房安全等级鉴定工作小组；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房屋安全评估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1.由房屋产权人（使用人）向乡镇政府提出申请房屋安全评估，并提交房屋基础资料，如房屋建造年代、结构类型、建筑面积等；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2.由住建局组织乡镇政府组织专业技术人员和镇村级乡建工作人员进行现场调查。对房屋的整体外观进行观察，检查房屋是否有明显的倾斜、裂缝、变形等情况。重点检查墙体、屋面、基础等部位；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4.告知产权人（使用人）房屋安全等级及整治方法，并出具《农村住房安全评定报告》。</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七、交通运输（5项）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对损坏、移动、涂改公路附属设施或者损坏、挪动建筑控制区的标桩、界桩，可能危及公路安全的行政处罚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对将公路作为试车场地的行政处罚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对使用拖拉机、联合收割机违反规定载人的行政处罚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1.县农业农村局联合县公安局交通管理大队组成工作专班；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2.对农村地区拖拉机、联合收割机违反规定载人开展突击联合检查；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3.交警部门在农村重点道路设置执勤点，对发现的上述车辆违法规定载人问题，按照《中华人民共和国道路交通安全法》及相关法律法规规定开展处罚工作。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对普通国省干线用地范围内摆摊设点、堆放物品、倾倒垃圾、设置障碍、挖沟引水、利用公路边沟排放污物等造成公路路面损坏、污染或者影响公路畅通等违法行为的查处</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对车辆装载物触地拖行、掉落、遗洒或者飘散，造成公路路面损坏、污染的行为的行政处罚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八、卫生健康（8项）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开展计划生育纪念日、会员日服务活动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1.制定工作方案，下发活动通知；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2.乡镇开展活动，上报工作总结。</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办理《流动人口婚育证明》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社会抚养费征收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再生育审批</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工作方式：根据优化生育政策要求，不再开展此项工作。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追回超领、冒领计划生育各类扶助资金、补助资金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1.接受举报或检查过程中发现有超领、冒领计划生育各类扶助资金的人员时，与所属乡镇进行信息核实；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2.核实追缴数额，通知本人及家属限期返还超领、冒领资金；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3.确认追缴资金返还县卫生健康和医疗保障局账户，由县卫生健康和医疗保障局返还县财政。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计划生育家庭特别扶助金审核确认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农村部分计划生育家庭奖励扶助金审核确认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免费向已婚育龄夫妻提供避孕药具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1.设立97个人工免费发放点和2个自动发放点，提供免费避孕药具；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2.组织各乡镇卫生院领取免费避孕药具并发放；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3.收集药具调拨、发放、放置信息并上报。</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九、应急管理及消防（14项）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小型水库安全监督和防汛监督管理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1.到水库现场进行检查，汛期监督小型水库防汛情况，采取水库日报汛，自动监测系统监督；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2.根据天气预报情况，及时通知水库做好汛期巡查，对存在安全运行问题的单位下达整改通知并督促整改；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3.水库水位超汛限时上报防汛指挥部，由水利局防汛专家组会商确定是否泄洪及泄洪时间。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编制总体应急预案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1.当总体应急预案效力终止或需更新调整时通过招投标的方式确定预案制作第三方公司；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2.制作完成后，在政府官方网站进行公示。</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对烟花爆竹经营企业的监督检查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1.按照年初制定的执法检查计划，定期对烟花爆竹经营企业开展执法检查；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2.由执法工作人员对企业现场、内业材料等依据《中华人民共和国安全生产法》、《烟花爆竹经营管理条例》等法律法规进行检查，并下达检查文书，要求督促相关企业在规定的时间内完成整改；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3.对春节期间烟花爆竹临时摊床进行动态巡查，发现问题及时要求经营者立即进行问题整改；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4.在春节期间各乡镇应急办对本乡镇的烟花爆竹临时摊床进行日常巡查，发现问题隐患及时要求整改。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建立微型消防站</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承接部门：县消防大队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1.根据上级工作方案部署要求，推进建立微型消防站工作；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2.指导建设单位完成微型消防站建设。</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对非煤矿山企业、尾矿库日常安全生产监督检查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对生产经营单位消除重大事故隐患的监督检查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1.对非煤矿山、危险化学品和烟花爆竹企业自查上报、监管执法查处、监察发现移交的重大事故隐患实施跟踪督办；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2.县应急管理局查明非煤矿山、危险化学品和烟花爆竹企业重大事故隐患产生的经过和原因，认定有关责任方的责任，明确整改措施，依法提出对责任单位和责任人的处理建议；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3.非煤矿山、危险化学品和烟花爆竹企业按照“五落实”制定整改方案，整改完成后向县应急管理局提出复查申请；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应急管理局组织人员对非煤矿山、危险化学品和烟花爆竹企业整改情况进行复查，检查隐患是否整改到位。对整改完成的销号；对未按要求完成整改的依照有关规定对企业主要负责人进行约谈；对重大事故隐患整改不及时、仍冒险作业的，依法责令停产整顿，并移送相关部门依法暂扣证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5.各行管部门根据《长白县管行业必须管安全、管业务必须管安全、管生产经营必须管安全实施细则》负责本行业领域的生产经营单位消除重大事故隐患情况进行监督检查。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对小型露天采石场安全生产情况、事故隐患排查情况的监督检查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烟花爆竹经营（零售）许可证换证现场核查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依据《烟花爆竹经营许可实施办法》由执法人员对烟花爆竹零售企业进行现场核查。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对存在重大危险源的危险化学品单位的监督检查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1.制定对存在重大危险源的危险化学品单位的监督检查计划、方案；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对粉尘涉爆企业实施安全监督管理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1.按照制定的执法检查计划，对粉尘涉爆企业开展执法检查；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2.组织执法人员对企业现场、内页资料进行检查；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检查结果，依据相关法律法规，向企业下达执法文书，要求企业在规定的时限内完成整改；对于存在严重违法行为或拒不整改隐患的企业，严格按照法律规定进行立案查处，实施罚款、停产停业整顿、吊销相关许可证等行政处罚措施；</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4.整改期限到期后，及时对企业进行复查，核实问题隐患的整改情况。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企业应急预案备案材料初审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2.县应急管理局负责接收非煤矿山、危险化学品和烟花爆竹企业申报材料，并对材料进行核对。材料不全的，一次性告知生产经营单位需要补齐的材料；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3.县应急管理局审查非煤矿山、危险化学品和烟花爆竹企业的申报材料是否齐全、符合规定格式，应急预案的编制是否符合相关导则和标准要求，内容是否完整，要素是否齐全；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企业，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5.各行管部门根据《突发事件应急预案管理办法》负责本行业领域企业应急预案备案材料初审。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开展加油站危险化学品、设备设施安全检查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1.按照年初制定的执法检查计划，定期对加油站危险化学品、设备设施安全开展执法检查；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2.执法工作人员对企业现场、内业材料等依据《中华人民共和国安全生产法》、《危险化学品管理条例》等法律法规进行检查，并下达检查文书，要求督促相关企业在规定的时间内完成整改。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生产经营单位生产安全事故应急预案备案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2.县应急管理局负责接收非煤矿山、危险化学品和烟花爆竹生产经营单位申报材料，并对材料进行核对。材料不全的，一次性告知生产经营单位需要补齐的材料；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3.县应急管理局审查非煤矿山、危险化学品和烟花爆竹生产经营单位申报材料是否齐全、符合规定格式，应急预案的编制是否符合相关导则和标准要求，内容是否完整，要素是否齐全；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生产经营单位，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5.各行管部门根据《突发事件应急预案管理办法》负责本行业领域生产经营单位生产安全事故应急预案备案。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对非药品类易制毒化学品生产、经营的监督检查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1.制定对非药品类易制毒化学品生产、经营企业的监督检查计划、方案；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十、市场监管（4项）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特种设备专项整治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bl>
    <w:p>
      <w:pPr>
        <w:pStyle w:val="3"/>
        <w:spacing w:before="0" w:after="0" w:line="240" w:lineRule="auto"/>
        <w:jc w:val="center"/>
        <w:rPr>
          <w:rFonts w:ascii="Times New Roman" w:hAnsi="Times New Roman" w:eastAsia="方正小标宋_GBK" w:cs="Times New Roman"/>
          <w:color w:val="auto"/>
          <w:spacing w:val="7"/>
          <w:lang w:eastAsia="zh-CN"/>
        </w:rPr>
      </w:pPr>
    </w:p>
    <w:p>
      <w:pPr>
        <w:rPr>
          <w:rFonts w:ascii="Times New Roman" w:hAnsi="Times New Roman" w:cs="Times New Roman" w:eastAsiaTheme="minorEastAsia"/>
          <w:lang w:eastAsia="zh-CN"/>
        </w:rPr>
      </w:pPr>
    </w:p>
    <w:sectPr>
      <w:footerReference r:id="rId5" w:type="default"/>
      <w:pgSz w:w="16837" w:h="11905" w:orient="landscape"/>
      <w:pgMar w:top="1418" w:right="1418" w:bottom="1418" w:left="1418" w:header="851" w:footer="90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仿宋">
    <w:altName w:val="仿宋"/>
    <w:panose1 w:val="02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公文小标宋">
    <w:altName w:val="宋体"/>
    <w:panose1 w:val="02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公文黑体">
    <w:altName w:val="黑体"/>
    <w:panose1 w:val="02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59264;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f1GNz7A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q9u+70QAA&#10;AAMBAAAPAAAAAAAAAAEAIAAAACIAAABkcnMvZG93bnJldi54bWxQSwECFAAUAAAACACHTuJAX9Rj&#10;c+wBAAC0AwAADgAAAAAAAAABACAAAAAgAQAAZHJzL2Uyb0RvYy54bWxQSwUGAAAAAAYABgBZAQAA&#10;fg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3050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60288;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q9u+7&#10;0QAAAAMBAAAPAAAAAAAAAAEAIAAAACIAAABkcnMvZG93bnJldi54bWxQSwECFAAUAAAACACHTuJA&#10;hrJv4O8BAAC0AwAADgAAAAAAAAABACAAAAAgAQAAZHJzL2Uyb0RvYy54bWxQSwUGAAAAAAYABgBZ&#10;AQAAgQ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方正仿宋简体" w:hAnsi="方正仿宋简体" w:eastAsia="方正仿宋简体" w:cs="方正仿宋简体"/>
        <w:sz w:val="24"/>
      </w:rPr>
    </w:pPr>
    <w:r>
      <w:rPr>
        <w:rFonts w:hint="eastAsia" w:ascii="方正仿宋简体" w:hAnsi="方正仿宋简体" w:eastAsia="方正仿宋简体" w:cs="方正仿宋简体"/>
        <w:sz w:val="24"/>
        <w:szCs w:val="24"/>
      </w:rPr>
      <w:t xml:space="preserve">第 </w:t>
    </w:r>
    <w:r>
      <w:rPr>
        <w:rFonts w:ascii="Times New Roman" w:hAnsi="Times New Roman" w:eastAsia="方正仿宋简体"/>
        <w:sz w:val="24"/>
      </w:rPr>
      <w:fldChar w:fldCharType="begin"/>
    </w:r>
    <w:r>
      <w:rPr>
        <w:rFonts w:ascii="Times New Roman" w:hAnsi="Times New Roman" w:eastAsia="方正仿宋简体" w:cs="Times New Roman"/>
        <w:sz w:val="24"/>
        <w:szCs w:val="24"/>
      </w:rPr>
      <w:instrText xml:space="preserve"> PAGE  \* MERGEFORMAT </w:instrText>
    </w:r>
    <w:r>
      <w:rPr>
        <w:rFonts w:ascii="Times New Roman" w:hAnsi="Times New Roman" w:eastAsia="方正仿宋简体"/>
        <w:sz w:val="24"/>
      </w:rPr>
      <w:fldChar w:fldCharType="separate"/>
    </w:r>
    <w:r>
      <w:rPr>
        <w:rFonts w:ascii="Times New Roman" w:hAnsi="Times New Roman" w:eastAsia="方正仿宋简体"/>
        <w:sz w:val="24"/>
      </w:rPr>
      <w:t>3</w:t>
    </w:r>
    <w:r>
      <w:rPr>
        <w:rFonts w:ascii="Times New Roman" w:hAnsi="Times New Roman" w:eastAsia="方正仿宋简体"/>
        <w:sz w:val="24"/>
      </w:rPr>
      <w:fldChar w:fldCharType="end"/>
    </w:r>
    <w:r>
      <w:rPr>
        <w:rFonts w:hint="eastAsia" w:ascii="方正仿宋简体" w:hAnsi="方正仿宋简体" w:eastAsia="方正仿宋简体" w:cs="方正仿宋简体"/>
        <w:sz w:val="24"/>
        <w:szCs w:val="24"/>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9C"/>
    <w:multiLevelType w:val="multilevel"/>
    <w:tmpl w:val="1599329C"/>
    <w:lvl w:ilvl="0" w:tentative="0">
      <w:start w:val="1"/>
      <w:numFmt w:val="decimal"/>
      <w:pStyle w:val="7"/>
      <w:lvlText w:val="%1."/>
      <w:lvlJc w:val="left"/>
      <w:pPr>
        <w:ind w:left="420" w:hanging="420"/>
      </w:pPr>
      <w:rPr>
        <w:b w:val="0"/>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94"/>
    <w:rsid w:val="000047CA"/>
    <w:rsid w:val="0008314E"/>
    <w:rsid w:val="000A7693"/>
    <w:rsid w:val="001234A4"/>
    <w:rsid w:val="00130BD7"/>
    <w:rsid w:val="0014273D"/>
    <w:rsid w:val="001575AA"/>
    <w:rsid w:val="001810B0"/>
    <w:rsid w:val="00181AB4"/>
    <w:rsid w:val="001916F2"/>
    <w:rsid w:val="001F251B"/>
    <w:rsid w:val="001F3E9F"/>
    <w:rsid w:val="001F4027"/>
    <w:rsid w:val="00205B9E"/>
    <w:rsid w:val="0021240C"/>
    <w:rsid w:val="00245B02"/>
    <w:rsid w:val="00266573"/>
    <w:rsid w:val="002706D0"/>
    <w:rsid w:val="0027432A"/>
    <w:rsid w:val="00283325"/>
    <w:rsid w:val="002B1C9B"/>
    <w:rsid w:val="002C7D57"/>
    <w:rsid w:val="00323128"/>
    <w:rsid w:val="00332498"/>
    <w:rsid w:val="00384253"/>
    <w:rsid w:val="003A2345"/>
    <w:rsid w:val="003A4EAB"/>
    <w:rsid w:val="003A67C0"/>
    <w:rsid w:val="003B25EE"/>
    <w:rsid w:val="003B6491"/>
    <w:rsid w:val="0042770C"/>
    <w:rsid w:val="00436A05"/>
    <w:rsid w:val="0044787B"/>
    <w:rsid w:val="0045146E"/>
    <w:rsid w:val="00454E9C"/>
    <w:rsid w:val="00496286"/>
    <w:rsid w:val="004C1612"/>
    <w:rsid w:val="004C3B4B"/>
    <w:rsid w:val="00556418"/>
    <w:rsid w:val="0055782E"/>
    <w:rsid w:val="005D0A45"/>
    <w:rsid w:val="005F3046"/>
    <w:rsid w:val="005F4A95"/>
    <w:rsid w:val="00621683"/>
    <w:rsid w:val="00624E87"/>
    <w:rsid w:val="00635096"/>
    <w:rsid w:val="00670175"/>
    <w:rsid w:val="00691C2F"/>
    <w:rsid w:val="00693EEA"/>
    <w:rsid w:val="006E6CDB"/>
    <w:rsid w:val="006F07E4"/>
    <w:rsid w:val="00735E5D"/>
    <w:rsid w:val="007364DC"/>
    <w:rsid w:val="00745330"/>
    <w:rsid w:val="00757D6B"/>
    <w:rsid w:val="0076256B"/>
    <w:rsid w:val="00764690"/>
    <w:rsid w:val="007A235A"/>
    <w:rsid w:val="007C3F5A"/>
    <w:rsid w:val="0080494D"/>
    <w:rsid w:val="00821188"/>
    <w:rsid w:val="00846E5D"/>
    <w:rsid w:val="008C6462"/>
    <w:rsid w:val="008D168C"/>
    <w:rsid w:val="00944BE5"/>
    <w:rsid w:val="0097500B"/>
    <w:rsid w:val="0099530A"/>
    <w:rsid w:val="00997B94"/>
    <w:rsid w:val="009B6F21"/>
    <w:rsid w:val="009B71A6"/>
    <w:rsid w:val="009D1B6F"/>
    <w:rsid w:val="009F1C84"/>
    <w:rsid w:val="00A44440"/>
    <w:rsid w:val="00AE3464"/>
    <w:rsid w:val="00AF196D"/>
    <w:rsid w:val="00AF4537"/>
    <w:rsid w:val="00AF79DD"/>
    <w:rsid w:val="00B04B4F"/>
    <w:rsid w:val="00B226F7"/>
    <w:rsid w:val="00B356FE"/>
    <w:rsid w:val="00B376AB"/>
    <w:rsid w:val="00B60217"/>
    <w:rsid w:val="00B72EE5"/>
    <w:rsid w:val="00B7677F"/>
    <w:rsid w:val="00BD3ECB"/>
    <w:rsid w:val="00BE017C"/>
    <w:rsid w:val="00C00BFB"/>
    <w:rsid w:val="00C36F45"/>
    <w:rsid w:val="00C45044"/>
    <w:rsid w:val="00C745D6"/>
    <w:rsid w:val="00CA06A0"/>
    <w:rsid w:val="00CC0F16"/>
    <w:rsid w:val="00CC273C"/>
    <w:rsid w:val="00CD06DB"/>
    <w:rsid w:val="00CF3786"/>
    <w:rsid w:val="00D04434"/>
    <w:rsid w:val="00D071D3"/>
    <w:rsid w:val="00D23A49"/>
    <w:rsid w:val="00DA62D8"/>
    <w:rsid w:val="00DA70AC"/>
    <w:rsid w:val="00DE5D96"/>
    <w:rsid w:val="00E04FAF"/>
    <w:rsid w:val="00E22E8D"/>
    <w:rsid w:val="00E30699"/>
    <w:rsid w:val="00E34FB1"/>
    <w:rsid w:val="00E37CBB"/>
    <w:rsid w:val="00E56BCC"/>
    <w:rsid w:val="00EC1565"/>
    <w:rsid w:val="00F24092"/>
    <w:rsid w:val="00F37E44"/>
    <w:rsid w:val="00F417B3"/>
    <w:rsid w:val="00FA2D9F"/>
    <w:rsid w:val="00FA6C61"/>
    <w:rsid w:val="00FC2FBD"/>
    <w:rsid w:val="00FD6B5A"/>
    <w:rsid w:val="1BCC1E8F"/>
    <w:rsid w:val="260C69AC"/>
    <w:rsid w:val="38EA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12"/>
    <w:qFormat/>
    <w:uiPriority w:val="0"/>
    <w:pPr>
      <w:spacing w:before="240" w:after="60"/>
      <w:jc w:val="center"/>
      <w:outlineLvl w:val="0"/>
    </w:pPr>
    <w:rPr>
      <w:b/>
      <w:sz w:val="32"/>
    </w:rPr>
  </w:style>
  <w:style w:type="paragraph" w:styleId="4">
    <w:name w:val="Body Text"/>
    <w:basedOn w:val="1"/>
    <w:link w:val="13"/>
    <w:semiHidden/>
    <w:qFormat/>
    <w:uiPriority w:val="0"/>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numPr>
        <w:ilvl w:val="0"/>
        <w:numId w:val="1"/>
      </w:numPr>
    </w:pPr>
    <w:rPr>
      <w:rFonts w:ascii="Times New Roman" w:hAnsi="Times New Roman" w:eastAsia="方正公文仿宋"/>
      <w:sz w:val="32"/>
    </w:rPr>
  </w:style>
  <w:style w:type="character" w:styleId="10">
    <w:name w:val="page number"/>
    <w:qFormat/>
    <w:uiPriority w:val="0"/>
  </w:style>
  <w:style w:type="character" w:styleId="11">
    <w:name w:val="Hyperlink"/>
    <w:basedOn w:val="9"/>
    <w:unhideWhenUsed/>
    <w:uiPriority w:val="99"/>
    <w:rPr>
      <w:color w:val="0563C1" w:themeColor="hyperlink"/>
      <w:u w:val="single"/>
      <w14:textFill>
        <w14:solidFill>
          <w14:schemeClr w14:val="hlink"/>
        </w14:solidFill>
      </w14:textFill>
    </w:rPr>
  </w:style>
  <w:style w:type="character" w:customStyle="1" w:styleId="12">
    <w:name w:val="标题 字符"/>
    <w:basedOn w:val="9"/>
    <w:link w:val="2"/>
    <w:uiPriority w:val="0"/>
    <w:rPr>
      <w:rFonts w:ascii="Arial" w:hAnsi="Arial" w:eastAsia="Arial" w:cs="Arial"/>
      <w:b/>
      <w:snapToGrid w:val="0"/>
      <w:color w:val="000000"/>
      <w:kern w:val="0"/>
      <w:sz w:val="32"/>
      <w:szCs w:val="21"/>
      <w:lang w:eastAsia="en-US"/>
    </w:rPr>
  </w:style>
  <w:style w:type="character" w:customStyle="1" w:styleId="13">
    <w:name w:val="正文文本 字符"/>
    <w:basedOn w:val="9"/>
    <w:link w:val="4"/>
    <w:semiHidden/>
    <w:uiPriority w:val="0"/>
    <w:rPr>
      <w:rFonts w:ascii="Arial" w:hAnsi="Arial" w:eastAsia="Arial" w:cs="Arial"/>
      <w:snapToGrid w:val="0"/>
      <w:color w:val="000000"/>
      <w:kern w:val="0"/>
      <w:szCs w:val="21"/>
      <w:lang w:eastAsia="en-US"/>
    </w:rPr>
  </w:style>
  <w:style w:type="character" w:customStyle="1" w:styleId="14">
    <w:name w:val="页脚 字符"/>
    <w:basedOn w:val="9"/>
    <w:link w:val="5"/>
    <w:qFormat/>
    <w:uiPriority w:val="0"/>
    <w:rPr>
      <w:rFonts w:ascii="Arial" w:hAnsi="Arial" w:eastAsia="Arial" w:cs="Arial"/>
      <w:snapToGrid w:val="0"/>
      <w:color w:val="000000"/>
      <w:kern w:val="0"/>
      <w:sz w:val="18"/>
      <w:szCs w:val="18"/>
      <w:lang w:eastAsia="en-US"/>
    </w:rPr>
  </w:style>
  <w:style w:type="paragraph" w:customStyle="1" w:styleId="15">
    <w:name w:val="_Style 5"/>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16">
    <w:name w:val="font21"/>
    <w:uiPriority w:val="0"/>
    <w:rPr>
      <w:rFonts w:hint="default" w:ascii="Times New Roman" w:hAnsi="Times New Roman" w:cs="Times New Roman"/>
      <w:color w:val="000000"/>
      <w:sz w:val="24"/>
      <w:szCs w:val="24"/>
      <w:u w:val="none"/>
    </w:rPr>
  </w:style>
  <w:style w:type="character" w:customStyle="1" w:styleId="17">
    <w:name w:val="font101"/>
    <w:uiPriority w:val="0"/>
    <w:rPr>
      <w:rFonts w:hint="default" w:ascii="Times New Roman" w:hAnsi="Times New Roman" w:cs="Times New Roman"/>
      <w:color w:val="000000"/>
      <w:sz w:val="22"/>
      <w:szCs w:val="22"/>
      <w:u w:val="none"/>
    </w:rPr>
  </w:style>
  <w:style w:type="character" w:customStyle="1" w:styleId="18">
    <w:name w:val="标题 1 字符"/>
    <w:basedOn w:val="9"/>
    <w:link w:val="3"/>
    <w:uiPriority w:val="9"/>
    <w:rPr>
      <w:rFonts w:ascii="Arial" w:hAnsi="Arial" w:eastAsia="Arial" w:cs="Arial"/>
      <w:b/>
      <w:bCs/>
      <w:snapToGrid w:val="0"/>
      <w:color w:val="000000"/>
      <w:kern w:val="44"/>
      <w:sz w:val="44"/>
      <w:szCs w:val="44"/>
      <w:lang w:eastAsia="en-US"/>
    </w:rPr>
  </w:style>
  <w:style w:type="paragraph" w:customStyle="1" w:styleId="19">
    <w:name w:val="TOC Heading"/>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E75B6" w:themeColor="accent1" w:themeShade="BF"/>
      <w:kern w:val="0"/>
      <w:sz w:val="32"/>
      <w:szCs w:val="32"/>
      <w:lang w:eastAsia="zh-CN"/>
    </w:rPr>
  </w:style>
  <w:style w:type="character" w:customStyle="1" w:styleId="20">
    <w:name w:val="页眉 字符"/>
    <w:basedOn w:val="9"/>
    <w:link w:val="6"/>
    <w:uiPriority w:val="99"/>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wp="http://schemas.openxmlformats.org/drawingml/2006/wordprocessingDrawing"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3DF48-7483-4CD5-BB24-970728891761}">
  <ds:schemaRefs/>
</ds:datastoreItem>
</file>

<file path=docProps/app.xml><?xml version="1.0" encoding="utf-8"?>
<Properties xmlns="http://schemas.openxmlformats.org/officeDocument/2006/extended-properties" xmlns:vt="http://schemas.openxmlformats.org/officeDocument/2006/docPropsVTypes">
  <Template>Normal.dotm</Template>
  <Pages>64</Pages>
  <Words>92</Words>
  <Characters>93</Characters>
  <Lines>1</Lines>
  <Paragraphs>1</Paragraphs>
  <TotalTime>1</TotalTime>
  <ScaleCrop>false</ScaleCrop>
  <LinksUpToDate>false</LinksUpToDate>
  <CharactersWithSpaces>95</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2024-07-15T12:59:00Z</dcterms:created>
  <dc:creator>liuhl</dc:creator>
  <cp:lastModifiedBy>MH</cp:lastModifiedBy>
  <dcterms:modified xsi:type="dcterms:W3CDTF">2026-07-31T09:57:16Z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eyJoZGlkIjoiODQwODA3ZjY0ZjA1NTQ1NTVkMWU2OTNiZmRhN2MyMWEiLCJ1c2VySWQiOiIzOTYwODUzNDMifQ==</vt:lpwstr>
  </property>
  <property fmtid="{D5CDD505-2E9C-101B-9397-08002B2CF9AE}" pid="3" name="KSOProductBuildVer">
    <vt:lpwstr>2052-11.8.2.9067</vt:lpwstr>
  </property>
  <property fmtid="{D5CDD505-2E9C-101B-9397-08002B2CF9AE}" pid="4" name="ICV">
    <vt:lpwstr>BF5ADA9E4A0F4A5EAA4A2C2BAD0E3105_12</vt:lpwstr>
  </property>
</Properties>
</file>