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361" w:firstLineChars="1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长白县</w:t>
      </w:r>
      <w:r>
        <w:rPr>
          <w:b/>
          <w:bCs/>
          <w:sz w:val="36"/>
          <w:szCs w:val="36"/>
        </w:rPr>
        <w:t>人民医院医疗废物</w:t>
      </w:r>
      <w:r>
        <w:rPr>
          <w:rFonts w:hint="eastAsia"/>
          <w:b/>
          <w:bCs/>
          <w:sz w:val="36"/>
          <w:szCs w:val="36"/>
          <w:lang w:eastAsia="zh-CN"/>
        </w:rPr>
        <w:t>污水</w:t>
      </w:r>
      <w:r>
        <w:rPr>
          <w:b/>
          <w:bCs/>
          <w:sz w:val="36"/>
          <w:szCs w:val="36"/>
        </w:rPr>
        <w:t>污染防治责任信息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为贯彻执行《中华人民共和国传染病防治法》和《医疗废物管理条例》等有关规定，严格医疗废物的管理，严防因医疗废物导致传染病传播和环境污染事故发生,特制定医疗废物污染防治责任制度。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1.医疗废物管理实行责任制，院长</w:t>
      </w:r>
      <w:r>
        <w:rPr>
          <w:rFonts w:hint="default"/>
          <w:sz w:val="28"/>
          <w:szCs w:val="28"/>
        </w:rPr>
        <w:t>邵珠光</w:t>
      </w:r>
      <w:r>
        <w:rPr>
          <w:rFonts w:hint="eastAsia"/>
          <w:sz w:val="28"/>
          <w:szCs w:val="28"/>
        </w:rPr>
        <w:t>为第一责任人。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default"/>
          <w:sz w:val="28"/>
          <w:szCs w:val="28"/>
        </w:rPr>
        <w:t>依美香</w:t>
      </w:r>
      <w:r>
        <w:rPr>
          <w:rFonts w:hint="eastAsia"/>
          <w:sz w:val="28"/>
          <w:szCs w:val="28"/>
        </w:rPr>
        <w:t>负责全院医疗废物收集、处置工作，医院感控科负责监督指导和培训工作，医务科、护理部等职能部门及临床科室负责人积极配合，做好各自管理范围和环节的医疗废物处理工作。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3.严格按照“谁使用、谁主管、谁污染、谁负责”的原则，各医疗废物产生点必须设兼职人员进行管理，在医疗废物产生源头做好分类工作，严禁将生活垃圾和医疗垃圾废物混装。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4.各临床科室负责具体对医疗废物分类收集、运送、暂时贮存等工作。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5.各科室医务人员应当根据《医疗废物分类目录》对医疗废物实施分类收集管理。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6.各处置室的医疗废物由徐延生按统一规定的医疗废物运送时间、路线、使用专门的防渗漏、防遗撒的专用运送工具分类收集、运送至暂时贮存处。定期消毒暂存场所和运送工具。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7.暂时贮存处负责人</w:t>
      </w:r>
      <w:r>
        <w:rPr>
          <w:rFonts w:hint="default"/>
          <w:sz w:val="28"/>
          <w:szCs w:val="28"/>
        </w:rPr>
        <w:t>依美香</w:t>
      </w:r>
      <w:r>
        <w:rPr>
          <w:rFonts w:hint="eastAsia"/>
          <w:sz w:val="28"/>
          <w:szCs w:val="28"/>
        </w:rPr>
        <w:t>与</w:t>
      </w:r>
      <w:r>
        <w:rPr>
          <w:rFonts w:hint="default"/>
          <w:sz w:val="28"/>
          <w:szCs w:val="28"/>
        </w:rPr>
        <w:t>白山市宏泰环保有限公司</w:t>
      </w:r>
      <w:r>
        <w:rPr>
          <w:rFonts w:hint="eastAsia"/>
          <w:sz w:val="28"/>
          <w:szCs w:val="28"/>
        </w:rPr>
        <w:t>收运人员进行交接。医疗废物最终去向为：白山市</w:t>
      </w:r>
      <w:r>
        <w:rPr>
          <w:rFonts w:hint="default"/>
          <w:sz w:val="28"/>
          <w:szCs w:val="28"/>
        </w:rPr>
        <w:t>宏泰环保有限</w:t>
      </w:r>
      <w:r>
        <w:rPr>
          <w:rFonts w:hint="eastAsia"/>
          <w:sz w:val="28"/>
          <w:szCs w:val="28"/>
        </w:rPr>
        <w:t>公司进行处置。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.加强对从事医疗废物收集、运送、贮存、处置等工作的人员和管理人员的相关法律法规、专业技术、安全防护、和紧急处理等知识培训。配备必要的防护用品，定期对他们进行健康检查，必要时对有关人员进行免疫接种，防止其健康受到损害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9.实行医疗废物登记制度，资料至少保存5年以上。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10.防止医疗废物流失、泄露、扩散、严禁任何转让、买卖医疗废物行为。</w:t>
      </w: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11.危险废物管理工作</w:t>
      </w: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11.1主要责任人</w:t>
      </w: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副院长崔学成为危废第一责任人，对本院危险废物管理全面的领导责任。</w:t>
      </w: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危险废物处置小组成员：</w:t>
      </w: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副组长：李  菁   李  明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成  员：依美香   沈武子     </w:t>
      </w:r>
    </w:p>
    <w:p>
      <w:pPr>
        <w:rPr>
          <w:rFonts w:hint="eastAsia"/>
          <w:sz w:val="28"/>
          <w:szCs w:val="28"/>
        </w:rPr>
      </w:pPr>
    </w:p>
    <w:p>
      <w:pPr>
        <w:ind w:firstLine="964" w:firstLineChars="2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长白县人民医院污水处理流程图</w:t>
      </w:r>
    </w:p>
    <w:tbl>
      <w:tblPr>
        <w:tblStyle w:val="4"/>
        <w:tblpPr w:leftFromText="180" w:rightFromText="180" w:vertAnchor="text" w:tblpX="-103" w:tblpY="129"/>
        <w:tblOverlap w:val="never"/>
        <w:tblW w:w="8565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65" w:type="dxa"/>
          </w:tcPr>
          <w:p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产   生   污   水</w:t>
            </w:r>
          </w:p>
        </w:tc>
      </w:tr>
    </w:tbl>
    <w:p>
      <w:pPr>
        <w:ind w:firstLine="560" w:firstLineChars="200"/>
        <w:rPr>
          <w:rFonts w:hint="default" w:ascii="Arial" w:hAnsi="Arial" w:cs="Arial"/>
          <w:b/>
          <w:bCs/>
          <w:sz w:val="72"/>
          <w:szCs w:val="7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72"/>
          <w:szCs w:val="72"/>
          <w:lang w:val="en-US" w:eastAsia="zh-CN"/>
        </w:rPr>
        <w:t>↓</w:t>
      </w:r>
    </w:p>
    <w:tbl>
      <w:tblPr>
        <w:tblStyle w:val="4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6" w:type="dxa"/>
          </w:tcPr>
          <w:p>
            <w:pPr>
              <w:ind w:firstLine="3092" w:firstLineChars="1100"/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化   粪   池</w:t>
            </w:r>
          </w:p>
        </w:tc>
      </w:tr>
    </w:tbl>
    <w:p>
      <w:pPr>
        <w:rPr>
          <w:rFonts w:hint="default" w:ascii="Arial" w:hAnsi="Arial" w:cs="Arial"/>
          <w:b/>
          <w:bCs/>
          <w:sz w:val="52"/>
          <w:szCs w:val="52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Arial" w:hAnsi="Arial" w:cs="Arial"/>
          <w:b/>
          <w:bCs/>
          <w:sz w:val="52"/>
          <w:szCs w:val="52"/>
          <w:lang w:val="en-US" w:eastAsia="zh-CN"/>
        </w:rPr>
        <w:t xml:space="preserve">   </w:t>
      </w:r>
      <w:r>
        <w:rPr>
          <w:rFonts w:hint="default" w:ascii="Arial" w:hAnsi="Arial" w:cs="Arial"/>
          <w:b/>
          <w:bCs/>
          <w:sz w:val="72"/>
          <w:szCs w:val="72"/>
          <w:lang w:val="en-US" w:eastAsia="zh-CN"/>
        </w:rPr>
        <w:t>↓</w:t>
      </w:r>
    </w:p>
    <w:tbl>
      <w:tblPr>
        <w:tblStyle w:val="4"/>
        <w:tblW w:w="8625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25" w:type="dxa"/>
          </w:tcPr>
          <w:p>
            <w:pP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调   节   池</w:t>
            </w:r>
          </w:p>
        </w:tc>
      </w:tr>
    </w:tbl>
    <w:p>
      <w:pPr>
        <w:rPr>
          <w:rFonts w:hint="default" w:ascii="Arial" w:hAnsi="Arial" w:cs="Arial"/>
          <w:b/>
          <w:bCs/>
          <w:sz w:val="72"/>
          <w:szCs w:val="72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default" w:ascii="Arial" w:hAnsi="Arial" w:cs="Arial"/>
          <w:b/>
          <w:bCs/>
          <w:sz w:val="72"/>
          <w:szCs w:val="72"/>
          <w:lang w:val="en-US" w:eastAsia="zh-CN"/>
        </w:rPr>
        <w:t>↓</w:t>
      </w:r>
    </w:p>
    <w:tbl>
      <w:tblPr>
        <w:tblStyle w:val="4"/>
        <w:tblW w:w="8550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50" w:type="dxa"/>
          </w:tcPr>
          <w:p>
            <w:pP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曝     气   池</w:t>
            </w:r>
          </w:p>
        </w:tc>
      </w:tr>
    </w:tbl>
    <w:p>
      <w:pPr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52"/>
          <w:szCs w:val="52"/>
          <w:lang w:val="en-US" w:eastAsia="zh-CN"/>
        </w:rPr>
        <w:t xml:space="preserve">            </w:t>
      </w:r>
      <w:r>
        <w:rPr>
          <w:rFonts w:hint="default" w:ascii="Arial" w:hAnsi="Arial" w:cs="Arial"/>
          <w:sz w:val="72"/>
          <w:szCs w:val="72"/>
          <w:lang w:val="en-US" w:eastAsia="zh-CN"/>
        </w:rPr>
        <w:t>↓</w:t>
      </w:r>
    </w:p>
    <w:tbl>
      <w:tblPr>
        <w:tblStyle w:val="4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6" w:type="dxa"/>
          </w:tcPr>
          <w:p>
            <w:pP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沉     淀    池</w:t>
            </w:r>
          </w:p>
        </w:tc>
      </w:tr>
    </w:tbl>
    <w:p>
      <w:pPr>
        <w:rPr>
          <w:rFonts w:hint="default" w:ascii="Arial" w:hAnsi="Arial" w:cs="Arial"/>
          <w:b/>
          <w:bCs/>
          <w:sz w:val="72"/>
          <w:szCs w:val="72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default" w:ascii="Arial" w:hAnsi="Arial" w:cs="Arial"/>
          <w:b/>
          <w:bCs/>
          <w:sz w:val="72"/>
          <w:szCs w:val="72"/>
          <w:lang w:val="en-US" w:eastAsia="zh-CN"/>
        </w:rPr>
        <w:t>↓</w:t>
      </w:r>
    </w:p>
    <w:tbl>
      <w:tblPr>
        <w:tblStyle w:val="4"/>
        <w:tblW w:w="8672" w:type="dxa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72" w:type="dxa"/>
          </w:tcPr>
          <w:p>
            <w:pPr>
              <w:ind w:firstLine="1968" w:firstLineChars="700"/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在消毒池用次氯酸钠进行消毒后</w:t>
            </w:r>
          </w:p>
        </w:tc>
      </w:tr>
    </w:tbl>
    <w:p/>
    <w:p>
      <w:pPr>
        <w:rPr>
          <w:rFonts w:hint="default" w:ascii="Arial" w:hAnsi="Arial" w:cs="Arial"/>
          <w:b/>
          <w:bCs/>
          <w:sz w:val="72"/>
          <w:szCs w:val="72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Arial" w:hAnsi="Arial" w:cs="Arial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72"/>
          <w:szCs w:val="72"/>
          <w:lang w:val="en-US" w:eastAsia="zh-CN"/>
        </w:rPr>
        <w:t>↓</w:t>
      </w:r>
    </w:p>
    <w:tbl>
      <w:tblPr>
        <w:tblStyle w:val="4"/>
        <w:tblW w:w="8670" w:type="dxa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70" w:type="dxa"/>
          </w:tcPr>
          <w:p>
            <w:pP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长白县污水处理站</w:t>
            </w:r>
          </w:p>
        </w:tc>
      </w:tr>
    </w:tbl>
    <w:p>
      <w:pPr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1566" w:firstLineChars="300"/>
        <w:jc w:val="both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医疗废弃物管理流程图</w:t>
      </w:r>
    </w:p>
    <w:tbl>
      <w:tblPr>
        <w:tblStyle w:val="3"/>
        <w:tblW w:w="865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65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科室护士对医疗垃圾进行密封打包，对医疗垃圾种类、重量及产生地点进行严格登记，与医疗废物运送专用人员认真交接，并做好交接记录。</w:t>
            </w:r>
          </w:p>
        </w:tc>
      </w:tr>
    </w:tbl>
    <w:p>
      <w:pPr>
        <w:rPr>
          <w:rFonts w:hint="eastAsia" w:ascii="宋体" w:hAnsi="宋体"/>
          <w:b/>
          <w:sz w:val="84"/>
          <w:szCs w:val="84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b/>
          <w:sz w:val="44"/>
          <w:szCs w:val="44"/>
        </w:rPr>
        <w:t xml:space="preserve">   </w:t>
      </w:r>
      <w:r>
        <w:rPr>
          <w:rFonts w:hint="eastAsia" w:ascii="宋体" w:hAnsi="宋体"/>
          <w:b/>
          <w:sz w:val="84"/>
          <w:szCs w:val="84"/>
        </w:rPr>
        <w:t>↓</w:t>
      </w: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专人进行运送，且不能和生活垃圾混合运送</w:t>
            </w:r>
          </w:p>
        </w:tc>
      </w:tr>
    </w:tbl>
    <w:p>
      <w:pPr>
        <w:rPr>
          <w:rFonts w:hint="eastAsia" w:ascii="宋体" w:hAnsi="宋体"/>
          <w:b/>
          <w:sz w:val="84"/>
          <w:szCs w:val="84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84"/>
          <w:szCs w:val="84"/>
        </w:rPr>
        <w:t>↓</w:t>
      </w: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6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送医疗垃圾暂存处暂存，并做好医疗垃圾交接记录。（暂存时间最长不超过2天。）每次清理完毕及时对垃圾暂存处和运送工具用1000㎎/L含氯有效消毒剂进行消毒，离开后须管好门窗严格做好防蝇、防鼠、防虫及防泄漏工作。</w:t>
            </w:r>
          </w:p>
        </w:tc>
      </w:tr>
    </w:tbl>
    <w:p>
      <w:pPr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</w:t>
      </w:r>
      <w:r>
        <w:rPr>
          <w:rFonts w:hint="eastAsia" w:ascii="宋体" w:hAnsi="宋体"/>
          <w:b/>
          <w:sz w:val="84"/>
          <w:szCs w:val="84"/>
        </w:rPr>
        <w:t>↓</w:t>
      </w:r>
    </w:p>
    <w:tbl>
      <w:tblPr>
        <w:tblStyle w:val="3"/>
        <w:tblW w:w="84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0" w:type="dxa"/>
            <w:noWrap w:val="0"/>
            <w:vAlign w:val="top"/>
          </w:tcPr>
          <w:p>
            <w:pPr>
              <w:ind w:firstLine="2380" w:firstLineChars="8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白山市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宏泰环保有限</w:t>
            </w:r>
            <w:r>
              <w:rPr>
                <w:rFonts w:hint="eastAsia" w:ascii="宋体" w:hAnsi="宋体"/>
                <w:sz w:val="28"/>
                <w:szCs w:val="28"/>
              </w:rPr>
              <w:t>公司处理</w:t>
            </w:r>
          </w:p>
        </w:tc>
      </w:tr>
    </w:tbl>
    <w:p>
      <w:pPr>
        <w:pStyle w:val="2"/>
        <w:bidi w:val="0"/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>
      <w:pPr>
        <w:pStyle w:val="2"/>
        <w:bidi w:val="0"/>
        <w:ind w:firstLine="5903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长白县人民医院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2025年6月6日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C0B1E"/>
    <w:rsid w:val="18F15BD1"/>
    <w:rsid w:val="295C0B1E"/>
    <w:rsid w:val="7844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2025-06-09T01:40:00Z</dcterms:created>
  <dc:creator>丁铱</dc:creator>
  <cp:lastModifiedBy>Administrator</cp:lastModifiedBy>
  <dcterms:modified xsi:type="dcterms:W3CDTF">2025-06-09T02:31:53Z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05FDC0168DC34EF3BE0256D7284856B2_11</vt:lpwstr>
  </property>
  <property fmtid="{D5CDD505-2E9C-101B-9397-08002B2CF9AE}" pid="4" name="KSOTemplateDocerSaveRecord">
    <vt:lpwstr>eyJoZGlkIjoiOTAzNDFjMjBjYTg0MDc4OWVjOWQ1MGU5YTU4OGJhZGMiLCJ1c2VySWQiOiI3MzA0MzAxOTQifQ==</vt:lpwstr>
  </property>
</Properties>
</file>