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rPr>
          <w:rFonts w:hint="eastAsia" w:ascii="宋体"/>
          <w:b/>
          <w:sz w:val="32"/>
          <w:szCs w:val="32"/>
          <w:lang w:val="en-US" w:eastAsia="zh-CN"/>
        </w:rPr>
      </w:pPr>
      <w:r>
        <w:rPr>
          <w:rFonts w:hint="eastAsia" w:ascii="宋体"/>
          <w:b/>
          <w:sz w:val="32"/>
          <w:szCs w:val="32"/>
          <w:lang w:val="en-US" w:eastAsia="zh-CN"/>
        </w:rPr>
        <w:t>附件：</w:t>
      </w:r>
    </w:p>
    <w:p>
      <w:pPr>
        <w:widowControl/>
        <w:ind w:right="880"/>
        <w:jc w:val="center"/>
        <w:rPr>
          <w:rFonts w:ascii="宋体" w:eastAsia="宋体"/>
          <w:b/>
          <w:sz w:val="32"/>
          <w:szCs w:val="32"/>
        </w:rPr>
      </w:pPr>
      <w:r>
        <w:rPr>
          <w:rFonts w:hint="eastAsia" w:ascii="宋体"/>
          <w:b/>
          <w:sz w:val="32"/>
          <w:szCs w:val="32"/>
          <w:lang w:val="en-US" w:eastAsia="zh-CN"/>
        </w:rPr>
        <w:t xml:space="preserve"> </w:t>
      </w:r>
      <w:r>
        <w:rPr>
          <w:rFonts w:hint="eastAsia" w:ascii="宋体" w:eastAsia="宋体"/>
          <w:b/>
          <w:sz w:val="32"/>
          <w:szCs w:val="32"/>
        </w:rPr>
        <w:t>长白朝鲜族自治县</w:t>
      </w:r>
      <w:r>
        <w:rPr>
          <w:rFonts w:hint="eastAsia" w:ascii="宋体"/>
          <w:b/>
          <w:sz w:val="32"/>
          <w:szCs w:val="32"/>
          <w:lang w:val="en-US" w:eastAsia="zh-CN"/>
        </w:rPr>
        <w:t>林业局吉林省第二轮</w:t>
      </w:r>
      <w:r>
        <w:rPr>
          <w:rFonts w:hint="eastAsia" w:ascii="宋体" w:eastAsia="宋体"/>
          <w:b/>
          <w:sz w:val="32"/>
          <w:szCs w:val="32"/>
        </w:rPr>
        <w:t>生态环境保护督察反馈问题整改任务（序号</w:t>
      </w:r>
      <w:r>
        <w:rPr>
          <w:rFonts w:hint="eastAsia" w:ascii="宋体"/>
          <w:b/>
          <w:sz w:val="32"/>
          <w:szCs w:val="32"/>
          <w:lang w:val="en-US" w:eastAsia="zh-CN"/>
        </w:rPr>
        <w:t>6</w:t>
      </w:r>
      <w:r>
        <w:rPr>
          <w:rFonts w:hint="eastAsia" w:ascii="宋体" w:eastAsia="宋体"/>
          <w:b/>
          <w:sz w:val="32"/>
          <w:szCs w:val="32"/>
        </w:rPr>
        <w:t>）销号确认表</w:t>
      </w:r>
    </w:p>
    <w:p>
      <w:pPr>
        <w:widowControl/>
        <w:rPr>
          <w:rFonts w:hint="default" w:ascii="宋体" w:eastAsia="宋体"/>
          <w:sz w:val="30"/>
          <w:szCs w:val="30"/>
          <w:lang w:val="en-US" w:eastAsia="zh-CN"/>
        </w:rPr>
      </w:pPr>
      <w:r>
        <w:rPr>
          <w:rFonts w:hint="eastAsia" w:ascii="宋体"/>
          <w:sz w:val="30"/>
          <w:szCs w:val="30"/>
        </w:rPr>
        <w:t>填报单位（盖章）：</w:t>
      </w:r>
      <w:r>
        <w:rPr>
          <w:rFonts w:hint="eastAsia" w:ascii="宋体"/>
          <w:sz w:val="30"/>
          <w:szCs w:val="30"/>
          <w:lang w:val="en-US" w:eastAsia="zh-CN"/>
        </w:rPr>
        <w:t>长白县林业局</w:t>
      </w:r>
      <w:r>
        <w:rPr>
          <w:rFonts w:hint="eastAsia" w:ascii="宋体"/>
          <w:sz w:val="30"/>
          <w:szCs w:val="30"/>
        </w:rPr>
        <w:t xml:space="preserve">    时间：</w:t>
      </w:r>
      <w:r>
        <w:rPr>
          <w:rFonts w:hint="eastAsia" w:ascii="宋体"/>
          <w:sz w:val="30"/>
          <w:szCs w:val="30"/>
          <w:lang w:val="en-US" w:eastAsia="zh-CN"/>
        </w:rPr>
        <w:t>2024年5月16日</w:t>
      </w:r>
    </w:p>
    <w:tbl>
      <w:tblPr>
        <w:tblStyle w:val="2"/>
        <w:tblW w:w="92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7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1880" w:type="dxa"/>
            <w:vAlign w:val="center"/>
          </w:tcPr>
          <w:p>
            <w:pPr>
              <w:spacing w:line="460" w:lineRule="exact"/>
              <w:jc w:val="center"/>
              <w:rPr>
                <w:rFonts w:ascii="仿宋_GB2312" w:eastAsia="仿宋_GB2312" w:cs="楷体"/>
                <w:sz w:val="28"/>
                <w:szCs w:val="28"/>
              </w:rPr>
            </w:pPr>
            <w:r>
              <w:rPr>
                <w:rFonts w:hint="eastAsia" w:ascii="仿宋_GB2312" w:eastAsia="仿宋_GB2312" w:cs="楷体"/>
                <w:sz w:val="28"/>
                <w:szCs w:val="28"/>
              </w:rPr>
              <w:t>整改任务</w:t>
            </w:r>
          </w:p>
        </w:tc>
        <w:tc>
          <w:tcPr>
            <w:tcW w:w="7372" w:type="dxa"/>
          </w:tcPr>
          <w:p>
            <w:pPr>
              <w:adjustRightInd w:val="0"/>
              <w:snapToGrid w:val="0"/>
              <w:spacing w:line="560" w:lineRule="exact"/>
              <w:ind w:firstLine="504" w:firstLineChars="200"/>
              <w:rPr>
                <w:rFonts w:hint="eastAsia"/>
                <w:lang w:eastAsia="zh-CN"/>
              </w:rPr>
            </w:pPr>
            <w:r>
              <w:rPr>
                <w:rFonts w:hint="eastAsia" w:ascii="仿宋_GB2312" w:eastAsia="仿宋_GB2312" w:cs="仿宋_GB2312"/>
                <w:spacing w:val="6"/>
                <w:sz w:val="24"/>
                <w:szCs w:val="24"/>
                <w:lang w:val="en-US" w:eastAsia="zh-CN"/>
              </w:rPr>
              <w:t xml:space="preserve">生态破坏问题时有发生。2020年以来，白山市共查处盗伐、滥伐、毁坏林木、改变林地用途等涉林案件201起，河道非法采砂类案件36起，非法开采非法占地类案件94起，非法捕捞类案件43起。督察发现，长白朝鲜族自治县十四道沟镇十四道沟村盗挖草炭土7022立方米；长白朝鲜族自治县张峰道路运输队因违规拓宽道路非法侵占林地约1102平方米。此外，本轮督察信访案件反映的生态破坏问题16件，属实率达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880" w:type="dxa"/>
            <w:vAlign w:val="center"/>
          </w:tcPr>
          <w:p>
            <w:pPr>
              <w:spacing w:line="460" w:lineRule="exact"/>
              <w:jc w:val="center"/>
              <w:rPr>
                <w:rFonts w:ascii="仿宋_GB2312" w:eastAsia="仿宋_GB2312" w:cs="楷体"/>
                <w:sz w:val="28"/>
                <w:szCs w:val="28"/>
              </w:rPr>
            </w:pPr>
            <w:r>
              <w:rPr>
                <w:rFonts w:hint="eastAsia" w:ascii="仿宋_GB2312" w:eastAsia="仿宋_GB2312" w:cs="楷体"/>
                <w:sz w:val="28"/>
                <w:szCs w:val="28"/>
              </w:rPr>
              <w:t>整改目标</w:t>
            </w:r>
          </w:p>
        </w:tc>
        <w:tc>
          <w:tcPr>
            <w:tcW w:w="7372" w:type="dxa"/>
            <w:vAlign w:val="center"/>
          </w:tcPr>
          <w:p>
            <w:pPr>
              <w:adjustRightInd w:val="0"/>
              <w:snapToGrid w:val="0"/>
              <w:spacing w:line="560" w:lineRule="exact"/>
              <w:rPr>
                <w:rFonts w:hint="eastAsia" w:ascii="仿宋_GB2312" w:eastAsia="方正仿宋_GBK" w:cs="楷体"/>
                <w:sz w:val="28"/>
                <w:szCs w:val="28"/>
                <w:lang w:eastAsia="zh-CN"/>
              </w:rPr>
            </w:pPr>
            <w:r>
              <w:rPr>
                <w:rFonts w:hint="eastAsia" w:ascii="仿宋_GB2312" w:eastAsia="仿宋_GB2312" w:cs="仿宋_GB2312"/>
                <w:spacing w:val="6"/>
                <w:sz w:val="24"/>
                <w:szCs w:val="24"/>
                <w:lang w:val="en-US" w:eastAsia="zh-CN"/>
              </w:rPr>
              <w:t>生态破坏趋势得到有效遏制，生态系统质量和稳定性明显增强。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3" w:hRule="atLeast"/>
        </w:trPr>
        <w:tc>
          <w:tcPr>
            <w:tcW w:w="1880" w:type="dxa"/>
            <w:vAlign w:val="center"/>
          </w:tcPr>
          <w:p>
            <w:pPr>
              <w:spacing w:line="460" w:lineRule="exact"/>
              <w:jc w:val="center"/>
              <w:rPr>
                <w:rFonts w:ascii="仿宋_GB2312" w:eastAsia="仿宋_GB2312" w:cs="楷体"/>
                <w:sz w:val="28"/>
                <w:szCs w:val="28"/>
              </w:rPr>
            </w:pPr>
            <w:r>
              <w:rPr>
                <w:rFonts w:hint="eastAsia" w:ascii="仿宋_GB2312" w:eastAsia="仿宋_GB2312" w:cs="楷体"/>
                <w:sz w:val="28"/>
                <w:szCs w:val="28"/>
              </w:rPr>
              <w:t>整改措施</w:t>
            </w:r>
          </w:p>
        </w:tc>
        <w:tc>
          <w:tcPr>
            <w:tcW w:w="7372" w:type="dxa"/>
            <w:vAlign w:val="center"/>
          </w:tcPr>
          <w:p>
            <w:pPr>
              <w:adjustRightInd w:val="0"/>
              <w:snapToGrid w:val="0"/>
              <w:spacing w:line="560" w:lineRule="exact"/>
              <w:ind w:firstLine="504" w:firstLineChars="200"/>
              <w:rPr>
                <w:rFonts w:hint="eastAsia" w:ascii="仿宋_GB2312" w:eastAsia="仿宋_GB2312" w:cs="仿宋_GB2312"/>
                <w:spacing w:val="6"/>
                <w:sz w:val="24"/>
                <w:szCs w:val="24"/>
                <w:lang w:val="en-US" w:eastAsia="zh-CN"/>
              </w:rPr>
            </w:pPr>
            <w:r>
              <w:rPr>
                <w:rFonts w:hint="eastAsia" w:ascii="仿宋_GB2312" w:eastAsia="仿宋_GB2312" w:cs="仿宋_GB2312"/>
                <w:spacing w:val="6"/>
                <w:sz w:val="24"/>
                <w:szCs w:val="24"/>
                <w:lang w:val="en-US" w:eastAsia="zh-CN"/>
              </w:rPr>
              <w:t xml:space="preserve">（一）2023年12月底前，县自然资源局、县林业局分别完成十四道沟镇十四道沟村盗挖草炭土7022立方米、张峰道路运输队因违规拓宽道路非法侵占林地约1102平方米问题调查处理工作。  </w:t>
            </w:r>
          </w:p>
          <w:p>
            <w:pPr>
              <w:adjustRightInd w:val="0"/>
              <w:snapToGrid w:val="0"/>
              <w:spacing w:line="560" w:lineRule="exact"/>
              <w:ind w:firstLine="504" w:firstLineChars="200"/>
              <w:rPr>
                <w:rFonts w:hint="eastAsia" w:ascii="仿宋_GB2312" w:eastAsia="仿宋_GB2312" w:cs="仿宋_GB2312"/>
                <w:spacing w:val="6"/>
                <w:sz w:val="24"/>
                <w:szCs w:val="24"/>
                <w:lang w:val="en-US" w:eastAsia="zh-CN"/>
              </w:rPr>
            </w:pPr>
            <w:r>
              <w:rPr>
                <w:rFonts w:hint="eastAsia" w:ascii="仿宋_GB2312" w:eastAsia="仿宋_GB2312" w:cs="仿宋_GB2312"/>
                <w:spacing w:val="6"/>
                <w:sz w:val="24"/>
                <w:szCs w:val="24"/>
                <w:lang w:val="en-US" w:eastAsia="zh-CN"/>
              </w:rPr>
              <w:t>（二）2024年6月底前，县林业局结合国家森林督查，持续开展各类专项行动，加大破坏林业生态环境违法行为的打击力度，对构成刑事案件的及时移送公安机关，确保林业生态资源安全。以全面推行林长制为统领，不断完善组织体系和制度体系建设，扎实推进“林长+警长”“林长+检察长”“林长+司法局长”等工作协作机制，切实发挥林草资源监管保护作用。</w:t>
            </w:r>
          </w:p>
          <w:p>
            <w:pPr>
              <w:adjustRightInd w:val="0"/>
              <w:snapToGrid w:val="0"/>
              <w:spacing w:line="560" w:lineRule="exact"/>
              <w:ind w:firstLine="504" w:firstLineChars="200"/>
              <w:rPr>
                <w:rFonts w:hint="eastAsia" w:ascii="仿宋_GB2312" w:eastAsia="仿宋_GB2312" w:cs="仿宋_GB2312"/>
                <w:spacing w:val="6"/>
                <w:sz w:val="24"/>
                <w:szCs w:val="24"/>
                <w:lang w:val="en-US" w:eastAsia="zh-CN"/>
              </w:rPr>
            </w:pPr>
            <w:r>
              <w:rPr>
                <w:rFonts w:hint="eastAsia" w:ascii="仿宋_GB2312" w:eastAsia="仿宋_GB2312" w:cs="仿宋_GB2312"/>
                <w:spacing w:val="6"/>
                <w:sz w:val="24"/>
                <w:szCs w:val="24"/>
                <w:lang w:val="en-US" w:eastAsia="zh-CN"/>
              </w:rPr>
              <w:t>（三）2024年6月底前，县水利局督促各级河长履职尽责，强化日常巡查，落实防控措施，对发现的非法采砂行为进行严厉处罚，确保非法采砂行为得到及时发现和制止。加强河道采砂管理的宣传教育，提高公众对河道采砂管理的认识和环保意识，形成全社会共同参与河道管理的良好氛围。</w:t>
            </w:r>
          </w:p>
          <w:p>
            <w:pPr>
              <w:adjustRightInd w:val="0"/>
              <w:snapToGrid w:val="0"/>
              <w:spacing w:line="560" w:lineRule="exact"/>
              <w:ind w:firstLine="504" w:firstLineChars="200"/>
              <w:rPr>
                <w:rFonts w:hint="eastAsia" w:ascii="仿宋_GB2312" w:eastAsia="仿宋_GB2312" w:cs="仿宋_GB2312"/>
                <w:spacing w:val="6"/>
                <w:sz w:val="24"/>
                <w:szCs w:val="24"/>
                <w:lang w:val="en-US" w:eastAsia="zh-CN"/>
              </w:rPr>
            </w:pPr>
            <w:r>
              <w:rPr>
                <w:rFonts w:hint="eastAsia" w:ascii="仿宋_GB2312" w:eastAsia="仿宋_GB2312" w:cs="仿宋_GB2312"/>
                <w:spacing w:val="6"/>
                <w:sz w:val="24"/>
                <w:szCs w:val="24"/>
                <w:lang w:val="en-US" w:eastAsia="zh-CN"/>
              </w:rPr>
              <w:t>（四）2024年6月底前，县自然资源局开展自然资源领域问题排查整治，着力解决突出问题，不断提升自然资源管理服务水平。</w:t>
            </w:r>
          </w:p>
          <w:p>
            <w:pPr>
              <w:adjustRightInd w:val="0"/>
              <w:snapToGrid w:val="0"/>
              <w:spacing w:line="560" w:lineRule="exact"/>
              <w:ind w:firstLine="504" w:firstLineChars="200"/>
              <w:rPr>
                <w:rFonts w:hint="eastAsia"/>
              </w:rPr>
            </w:pPr>
            <w:r>
              <w:rPr>
                <w:rFonts w:hint="eastAsia" w:ascii="仿宋_GB2312" w:eastAsia="仿宋_GB2312" w:cs="仿宋_GB2312"/>
                <w:spacing w:val="6"/>
                <w:sz w:val="24"/>
                <w:szCs w:val="24"/>
                <w:lang w:val="en-US" w:eastAsia="zh-CN"/>
              </w:rPr>
              <w:t>（五）县农业农村局加大对保护区、重点水域执法巡查工作，对保护区内违法行为多发水域、重点水域、重要时段，开展不间断执法巡查，特别是对国家级水产种质资源保护区加大执法巡查力度，维护水产种质资源保护区生态环境。与公安、市场监管等部门开展联合执法工作，并保持辖区流域执法巡查常态化，对涉嫌犯罪的依法移送公安机关处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1880" w:type="dxa"/>
            <w:vAlign w:val="center"/>
          </w:tcPr>
          <w:p>
            <w:pPr>
              <w:spacing w:line="460" w:lineRule="exact"/>
              <w:jc w:val="center"/>
              <w:rPr>
                <w:rFonts w:ascii="仿宋_GB2312" w:eastAsia="仿宋_GB2312" w:cs="楷体"/>
                <w:sz w:val="28"/>
                <w:szCs w:val="28"/>
              </w:rPr>
            </w:pPr>
            <w:r>
              <w:rPr>
                <w:rFonts w:hint="eastAsia" w:ascii="仿宋_GB2312" w:eastAsia="仿宋_GB2312" w:cs="楷体"/>
                <w:sz w:val="28"/>
                <w:szCs w:val="28"/>
              </w:rPr>
              <w:t>整改完成</w:t>
            </w:r>
          </w:p>
          <w:p>
            <w:pPr>
              <w:spacing w:line="460" w:lineRule="exact"/>
              <w:jc w:val="center"/>
              <w:rPr>
                <w:rFonts w:ascii="仿宋_GB2312" w:eastAsia="仿宋_GB2312" w:cs="楷体"/>
                <w:sz w:val="28"/>
                <w:szCs w:val="28"/>
              </w:rPr>
            </w:pPr>
            <w:r>
              <w:rPr>
                <w:rFonts w:hint="eastAsia" w:ascii="仿宋_GB2312" w:eastAsia="仿宋_GB2312" w:cs="楷体"/>
                <w:sz w:val="28"/>
                <w:szCs w:val="28"/>
              </w:rPr>
              <w:t>情况</w:t>
            </w:r>
          </w:p>
        </w:tc>
        <w:tc>
          <w:tcPr>
            <w:tcW w:w="7372" w:type="dxa"/>
          </w:tcPr>
          <w:p>
            <w:pPr>
              <w:keepNext w:val="0"/>
              <w:keepLines w:val="0"/>
              <w:pageBreakBefore w:val="0"/>
              <w:widowControl w:val="0"/>
              <w:numPr>
                <w:ilvl w:val="0"/>
                <w:numId w:val="0"/>
              </w:numPr>
              <w:kinsoku/>
              <w:wordWrap/>
              <w:overflowPunct/>
              <w:topLinePunct w:val="0"/>
              <w:autoSpaceDE/>
              <w:autoSpaceDN/>
              <w:bidi w:val="0"/>
              <w:adjustRightInd/>
              <w:snapToGrid/>
              <w:ind w:firstLine="504" w:firstLineChars="200"/>
              <w:jc w:val="both"/>
              <w:textAlignment w:val="auto"/>
              <w:rPr>
                <w:rFonts w:hint="default" w:ascii="仿宋_GB2312" w:eastAsia="仿宋_GB2312" w:cs="仿宋_GB2312"/>
                <w:color w:val="000000" w:themeColor="text1"/>
                <w:spacing w:val="6"/>
                <w:sz w:val="24"/>
                <w:szCs w:val="24"/>
                <w:lang w:val="en-US" w:eastAsia="zh-CN"/>
                <w14:textFill>
                  <w14:solidFill>
                    <w14:schemeClr w14:val="tx1"/>
                  </w14:solidFill>
                </w14:textFill>
              </w:rPr>
            </w:pPr>
            <w:r>
              <w:rPr>
                <w:rFonts w:hint="eastAsia" w:ascii="仿宋_GB2312" w:eastAsia="仿宋_GB2312" w:cs="仿宋_GB2312"/>
                <w:color w:val="000000" w:themeColor="text1"/>
                <w:spacing w:val="6"/>
                <w:sz w:val="24"/>
                <w:szCs w:val="24"/>
                <w:lang w:val="en-US" w:eastAsia="zh-CN"/>
                <w14:textFill>
                  <w14:solidFill>
                    <w14:schemeClr w14:val="tx1"/>
                  </w14:solidFill>
                </w14:textFill>
              </w:rPr>
              <w:t>一、已完成了对违法行为人张峰道路运输队法人张峰破坏的1102.86平方米林地行政处罚6777.3元人民币的罚款，被破坏林地植被和林业生产条件已恢复。长白县自然资源局对十四道沟镇十四道沟村盗挖草炭土7022立方米已构成非法采矿罪，于2023年5月23日已移交长白县公安局侦办。</w:t>
            </w:r>
          </w:p>
          <w:p>
            <w:pPr>
              <w:keepNext w:val="0"/>
              <w:keepLines w:val="0"/>
              <w:pageBreakBefore w:val="0"/>
              <w:widowControl w:val="0"/>
              <w:numPr>
                <w:ilvl w:val="0"/>
                <w:numId w:val="0"/>
              </w:numPr>
              <w:kinsoku/>
              <w:wordWrap/>
              <w:overflowPunct/>
              <w:topLinePunct w:val="0"/>
              <w:autoSpaceDE/>
              <w:autoSpaceDN/>
              <w:bidi w:val="0"/>
              <w:adjustRightInd/>
              <w:snapToGrid/>
              <w:ind w:firstLine="504" w:firstLineChars="200"/>
              <w:jc w:val="both"/>
              <w:textAlignment w:val="auto"/>
              <w:rPr>
                <w:rFonts w:hint="eastAsia" w:ascii="仿宋_GB2312" w:eastAsia="仿宋_GB2312" w:cs="仿宋_GB2312"/>
                <w:color w:val="000000" w:themeColor="text1"/>
                <w:spacing w:val="6"/>
                <w:sz w:val="24"/>
                <w:szCs w:val="24"/>
                <w:lang w:val="en-US" w:eastAsia="zh-CN"/>
                <w14:textFill>
                  <w14:solidFill>
                    <w14:schemeClr w14:val="tx1"/>
                  </w14:solidFill>
                </w14:textFill>
              </w:rPr>
            </w:pPr>
            <w:r>
              <w:rPr>
                <w:rFonts w:hint="eastAsia" w:ascii="仿宋_GB2312" w:eastAsia="仿宋_GB2312" w:cs="仿宋_GB2312"/>
                <w:color w:val="000000" w:themeColor="text1"/>
                <w:spacing w:val="6"/>
                <w:sz w:val="24"/>
                <w:szCs w:val="24"/>
                <w:lang w:val="en-US" w:eastAsia="zh-CN"/>
                <w14:textFill>
                  <w14:solidFill>
                    <w14:schemeClr w14:val="tx1"/>
                  </w14:solidFill>
                </w14:textFill>
              </w:rPr>
              <w:t>二、长白县林业局结合国家森林督查，持续开展各类专项行动，加大破坏林业生态环境违法行为的打击力度，对构成刑事案件的及时移送公安机关，确保林业生态资源安全。已完成“林长+警长”“林长+检察长”“林长+司法局长”等工作协作机制，切实发挥林草资源监管保护作用。</w:t>
            </w:r>
          </w:p>
          <w:p>
            <w:pPr>
              <w:keepNext w:val="0"/>
              <w:keepLines w:val="0"/>
              <w:pageBreakBefore w:val="0"/>
              <w:widowControl w:val="0"/>
              <w:numPr>
                <w:ilvl w:val="0"/>
                <w:numId w:val="0"/>
              </w:numPr>
              <w:kinsoku/>
              <w:wordWrap/>
              <w:overflowPunct/>
              <w:topLinePunct w:val="0"/>
              <w:autoSpaceDE/>
              <w:autoSpaceDN/>
              <w:bidi w:val="0"/>
              <w:adjustRightInd/>
              <w:snapToGrid/>
              <w:ind w:firstLine="504" w:firstLineChars="200"/>
              <w:jc w:val="both"/>
              <w:textAlignment w:val="auto"/>
              <w:rPr>
                <w:rFonts w:hint="eastAsia" w:ascii="仿宋_GB2312" w:eastAsia="仿宋_GB2312" w:cs="仿宋_GB2312"/>
                <w:color w:val="000000" w:themeColor="text1"/>
                <w:spacing w:val="6"/>
                <w:sz w:val="24"/>
                <w:szCs w:val="24"/>
                <w:lang w:val="en-US" w:eastAsia="zh-CN"/>
                <w14:textFill>
                  <w14:solidFill>
                    <w14:schemeClr w14:val="tx1"/>
                  </w14:solidFill>
                </w14:textFill>
              </w:rPr>
            </w:pPr>
            <w:r>
              <w:rPr>
                <w:rFonts w:hint="eastAsia" w:ascii="仿宋_GB2312" w:eastAsia="仿宋_GB2312" w:cs="仿宋_GB2312"/>
                <w:color w:val="000000" w:themeColor="text1"/>
                <w:spacing w:val="6"/>
                <w:sz w:val="24"/>
                <w:szCs w:val="24"/>
                <w:lang w:val="en-US" w:eastAsia="zh-CN"/>
                <w14:textFill>
                  <w14:solidFill>
                    <w14:schemeClr w14:val="tx1"/>
                  </w14:solidFill>
                </w14:textFill>
              </w:rPr>
              <w:t>三、县水利局按照整改要求，扎实推进我县河道管理，建立健全河道管理长效机制，坚决打击河道乱占、乱采、乱堆、乱建等突出问题。2023年7月，按照省市文件要求，长白县水利局联合长白县人民法院、长白县人民检察院、长白县公安局、长白县司法局共同制定了《长白县河湖安全保护专项执法行动工作方案》，聚焦河湖安全保护的重点领域和关键环节，加强水利部门与审判机关、检察机关、公安机关、司法行政机关的协作配合，依法打击侵占河湖、妨碍行洪安全、破坏水工程、非法采砂、非法取水、人为造成水土流失等领域的违法犯罪行为。多年以来平均每年发放宣传单500余份，悬挂条幅20余条，接待群众300余人次。切实加大非法采砂常态化的宣传力度，全力营造河道依法依规采砂工作的良好态势。2023年6月，查出非法采砂案件一起，非法采砂60立方米，共处罚金4200元全额上交财政。开展水利领域问题排查期间，出动车辆30余次，出动检查人员90余次，有效杜绝了非法采砂的违法行为。</w:t>
            </w:r>
          </w:p>
          <w:p>
            <w:pPr>
              <w:keepNext w:val="0"/>
              <w:keepLines w:val="0"/>
              <w:pageBreakBefore w:val="0"/>
              <w:widowControl w:val="0"/>
              <w:numPr>
                <w:ilvl w:val="0"/>
                <w:numId w:val="0"/>
              </w:numPr>
              <w:kinsoku/>
              <w:wordWrap/>
              <w:overflowPunct/>
              <w:topLinePunct w:val="0"/>
              <w:autoSpaceDE/>
              <w:autoSpaceDN/>
              <w:bidi w:val="0"/>
              <w:adjustRightInd/>
              <w:snapToGrid/>
              <w:ind w:firstLine="504" w:firstLineChars="200"/>
              <w:jc w:val="both"/>
              <w:textAlignment w:val="auto"/>
              <w:rPr>
                <w:rFonts w:hint="eastAsia" w:ascii="仿宋_GB2312" w:eastAsia="仿宋_GB2312" w:cs="仿宋_GB2312"/>
                <w:color w:val="000000" w:themeColor="text1"/>
                <w:spacing w:val="6"/>
                <w:sz w:val="24"/>
                <w:szCs w:val="24"/>
                <w:lang w:val="en-US" w:eastAsia="zh-CN"/>
                <w14:textFill>
                  <w14:solidFill>
                    <w14:schemeClr w14:val="tx1"/>
                  </w14:solidFill>
                </w14:textFill>
              </w:rPr>
            </w:pPr>
            <w:r>
              <w:rPr>
                <w:rFonts w:hint="eastAsia" w:ascii="仿宋_GB2312" w:eastAsia="仿宋_GB2312" w:cs="仿宋_GB2312"/>
                <w:color w:val="000000" w:themeColor="text1"/>
                <w:spacing w:val="6"/>
                <w:sz w:val="24"/>
                <w:szCs w:val="24"/>
                <w:lang w:val="en-US" w:eastAsia="zh-CN"/>
                <w14:textFill>
                  <w14:solidFill>
                    <w14:schemeClr w14:val="tx1"/>
                  </w14:solidFill>
                </w14:textFill>
              </w:rPr>
              <w:t>四、县自然资源局按照整改要求，</w:t>
            </w:r>
            <w:r>
              <w:rPr>
                <w:rFonts w:hint="default" w:ascii="仿宋_GB2312" w:eastAsia="仿宋_GB2312" w:cs="仿宋_GB2312"/>
                <w:color w:val="000000" w:themeColor="text1"/>
                <w:spacing w:val="6"/>
                <w:sz w:val="24"/>
                <w:szCs w:val="24"/>
                <w:lang w:val="en-US" w:eastAsia="zh-CN"/>
                <w14:textFill>
                  <w14:solidFill>
                    <w14:schemeClr w14:val="tx1"/>
                  </w14:solidFill>
                </w14:textFill>
              </w:rPr>
              <w:t>根据《吉林省自然资源厅关于开展全省自然资源领域其他采矿业风险隐患排查治理工作的通知》（吉自然资函[2024]55号）、《吉林省自然资源厅关于开展违法勘查开采矿产资源清查整治专项行动的通知》（吉自然资耕函〔2024〕67号）文件要求</w:t>
            </w:r>
            <w:r>
              <w:rPr>
                <w:rFonts w:hint="eastAsia" w:ascii="仿宋_GB2312" w:eastAsia="仿宋_GB2312" w:cs="仿宋_GB2312"/>
                <w:color w:val="000000" w:themeColor="text1"/>
                <w:spacing w:val="6"/>
                <w:sz w:val="24"/>
                <w:szCs w:val="24"/>
                <w:lang w:val="en-US" w:eastAsia="zh-CN"/>
                <w14:textFill>
                  <w14:solidFill>
                    <w14:schemeClr w14:val="tx1"/>
                  </w14:solidFill>
                </w14:textFill>
              </w:rPr>
              <w:t>进行风险排查治理工作，</w:t>
            </w:r>
            <w:r>
              <w:rPr>
                <w:rFonts w:hint="default" w:ascii="仿宋_GB2312" w:eastAsia="仿宋_GB2312" w:cs="仿宋_GB2312"/>
                <w:color w:val="000000" w:themeColor="text1"/>
                <w:spacing w:val="6"/>
                <w:sz w:val="24"/>
                <w:szCs w:val="24"/>
                <w:lang w:val="en-US" w:eastAsia="zh-CN"/>
                <w14:textFill>
                  <w14:solidFill>
                    <w14:schemeClr w14:val="tx1"/>
                  </w14:solidFill>
                </w14:textFill>
              </w:rPr>
              <w:t>自（吉自然资函[202</w:t>
            </w:r>
            <w:r>
              <w:rPr>
                <w:rFonts w:hint="eastAsia" w:ascii="仿宋_GB2312" w:eastAsia="仿宋_GB2312" w:cs="仿宋_GB2312"/>
                <w:color w:val="000000" w:themeColor="text1"/>
                <w:spacing w:val="6"/>
                <w:sz w:val="24"/>
                <w:szCs w:val="24"/>
                <w:lang w:val="en-US" w:eastAsia="zh-CN"/>
                <w14:textFill>
                  <w14:solidFill>
                    <w14:schemeClr w14:val="tx1"/>
                  </w14:solidFill>
                </w14:textFill>
              </w:rPr>
              <w:t>4</w:t>
            </w:r>
            <w:r>
              <w:rPr>
                <w:rFonts w:hint="default" w:ascii="仿宋_GB2312" w:eastAsia="仿宋_GB2312" w:cs="仿宋_GB2312"/>
                <w:color w:val="000000" w:themeColor="text1"/>
                <w:spacing w:val="6"/>
                <w:sz w:val="24"/>
                <w:szCs w:val="24"/>
                <w:lang w:val="en-US" w:eastAsia="zh-CN"/>
                <w14:textFill>
                  <w14:solidFill>
                    <w14:schemeClr w14:val="tx1"/>
                  </w14:solidFill>
                </w14:textFill>
              </w:rPr>
              <w:t>]5</w:t>
            </w:r>
            <w:r>
              <w:rPr>
                <w:rFonts w:hint="eastAsia" w:ascii="仿宋_GB2312" w:eastAsia="仿宋_GB2312" w:cs="仿宋_GB2312"/>
                <w:color w:val="000000" w:themeColor="text1"/>
                <w:spacing w:val="6"/>
                <w:sz w:val="24"/>
                <w:szCs w:val="24"/>
                <w:lang w:val="en-US" w:eastAsia="zh-CN"/>
                <w14:textFill>
                  <w14:solidFill>
                    <w14:schemeClr w14:val="tx1"/>
                  </w14:solidFill>
                </w14:textFill>
              </w:rPr>
              <w:t>5</w:t>
            </w:r>
            <w:r>
              <w:rPr>
                <w:rFonts w:hint="default" w:ascii="仿宋_GB2312" w:eastAsia="仿宋_GB2312" w:cs="仿宋_GB2312"/>
                <w:color w:val="000000" w:themeColor="text1"/>
                <w:spacing w:val="6"/>
                <w:sz w:val="24"/>
                <w:szCs w:val="24"/>
                <w:lang w:val="en-US" w:eastAsia="zh-CN"/>
                <w14:textFill>
                  <w14:solidFill>
                    <w14:schemeClr w14:val="tx1"/>
                  </w14:solidFill>
                </w14:textFill>
              </w:rPr>
              <w:t>号）文件接收后，</w:t>
            </w:r>
            <w:r>
              <w:rPr>
                <w:rFonts w:hint="eastAsia" w:ascii="仿宋_GB2312" w:eastAsia="仿宋_GB2312" w:cs="仿宋_GB2312"/>
                <w:color w:val="000000" w:themeColor="text1"/>
                <w:spacing w:val="6"/>
                <w:sz w:val="24"/>
                <w:szCs w:val="24"/>
                <w:lang w:val="en-US" w:eastAsia="zh-CN"/>
                <w14:textFill>
                  <w14:solidFill>
                    <w14:schemeClr w14:val="tx1"/>
                  </w14:solidFill>
                </w14:textFill>
              </w:rPr>
              <w:t>矿业权管理科工作人员第一时间入现场核查，由于季节性原因，矿泉水未生产，只留有值班人员。我局工作人员与负责人取得联系，传达了文件精神，并要求矿山要坚决落实安全生产责任，完善相关制度，提高隐患识别和应急处理能力。自然资源局相关科室、对全县各类矿山、长白高速公路各标段搅拌站临时用地使用情况、边境管控用地情况，开展自然资源领域问题排查，出动车辆40余次，出动检查人员120余人次，合理解决用地人的使用需求，有效的杜绝违法行为发生。</w:t>
            </w:r>
          </w:p>
          <w:p>
            <w:pPr>
              <w:keepNext w:val="0"/>
              <w:keepLines w:val="0"/>
              <w:pageBreakBefore w:val="0"/>
              <w:widowControl w:val="0"/>
              <w:numPr>
                <w:ilvl w:val="0"/>
                <w:numId w:val="0"/>
              </w:numPr>
              <w:kinsoku/>
              <w:wordWrap/>
              <w:overflowPunct/>
              <w:topLinePunct w:val="0"/>
              <w:autoSpaceDE/>
              <w:autoSpaceDN/>
              <w:bidi w:val="0"/>
              <w:adjustRightInd/>
              <w:snapToGrid/>
              <w:ind w:firstLine="504" w:firstLineChars="200"/>
              <w:jc w:val="both"/>
              <w:textAlignment w:val="auto"/>
              <w:rPr>
                <w:rFonts w:hint="default" w:ascii="仿宋_GB2312" w:eastAsia="仿宋_GB2312" w:cs="仿宋_GB2312"/>
                <w:color w:val="000000" w:themeColor="text1"/>
                <w:spacing w:val="6"/>
                <w:sz w:val="24"/>
                <w:szCs w:val="24"/>
                <w:lang w:val="en-US" w:eastAsia="zh-CN"/>
                <w14:textFill>
                  <w14:solidFill>
                    <w14:schemeClr w14:val="tx1"/>
                  </w14:solidFill>
                </w14:textFill>
              </w:rPr>
            </w:pPr>
            <w:r>
              <w:rPr>
                <w:rFonts w:hint="eastAsia" w:ascii="仿宋_GB2312" w:eastAsia="仿宋_GB2312" w:cs="仿宋_GB2312"/>
                <w:color w:val="000000" w:themeColor="text1"/>
                <w:spacing w:val="6"/>
                <w:sz w:val="24"/>
                <w:szCs w:val="24"/>
                <w:lang w:val="en-US" w:eastAsia="zh-CN"/>
                <w14:textFill>
                  <w14:solidFill>
                    <w14:schemeClr w14:val="tx1"/>
                  </w14:solidFill>
                </w14:textFill>
              </w:rPr>
              <w:t>五、县农业农村局</w:t>
            </w:r>
            <w:r>
              <w:rPr>
                <w:rFonts w:hint="default" w:ascii="仿宋_GB2312" w:eastAsia="仿宋_GB2312" w:cs="仿宋_GB2312"/>
                <w:color w:val="000000" w:themeColor="text1"/>
                <w:spacing w:val="6"/>
                <w:sz w:val="24"/>
                <w:szCs w:val="24"/>
                <w:lang w:val="en-US" w:eastAsia="zh-CN"/>
                <w14:textFill>
                  <w14:solidFill>
                    <w14:schemeClr w14:val="tx1"/>
                  </w14:solidFill>
                </w14:textFill>
              </w:rPr>
              <w:t>为加强渔业资源和水域生态环境保护，扎实开展重点领域执法行动，有效打击各类涉渔违法违规行为</w:t>
            </w:r>
            <w:r>
              <w:rPr>
                <w:rFonts w:hint="eastAsia" w:ascii="仿宋_GB2312" w:eastAsia="仿宋_GB2312" w:cs="仿宋_GB2312"/>
                <w:color w:val="000000" w:themeColor="text1"/>
                <w:spacing w:val="6"/>
                <w:sz w:val="24"/>
                <w:szCs w:val="24"/>
                <w:lang w:val="en-US" w:eastAsia="zh-CN"/>
                <w14:textFill>
                  <w14:solidFill>
                    <w14:schemeClr w14:val="tx1"/>
                  </w14:solidFill>
                </w14:textFill>
              </w:rPr>
              <w:t>，</w:t>
            </w:r>
            <w:r>
              <w:rPr>
                <w:rFonts w:hint="default" w:ascii="仿宋_GB2312" w:eastAsia="仿宋_GB2312" w:cs="仿宋_GB2312"/>
                <w:color w:val="000000" w:themeColor="text1"/>
                <w:spacing w:val="6"/>
                <w:sz w:val="24"/>
                <w:szCs w:val="24"/>
                <w:lang w:val="en-US" w:eastAsia="zh-CN"/>
                <w14:textFill>
                  <w14:solidFill>
                    <w14:schemeClr w14:val="tx1"/>
                  </w14:solidFill>
                </w14:textFill>
              </w:rPr>
              <w:t>切实维护渔业生产秩序，促进渔业高质量发展，</w:t>
            </w:r>
            <w:r>
              <w:rPr>
                <w:rFonts w:hint="eastAsia" w:ascii="仿宋_GB2312" w:eastAsia="仿宋_GB2312" w:cs="仿宋_GB2312"/>
                <w:color w:val="000000" w:themeColor="text1"/>
                <w:spacing w:val="6"/>
                <w:sz w:val="24"/>
                <w:szCs w:val="24"/>
                <w:lang w:val="en-US" w:eastAsia="zh-CN"/>
                <w14:textFill>
                  <w14:solidFill>
                    <w14:schemeClr w14:val="tx1"/>
                  </w14:solidFill>
                </w14:textFill>
              </w:rPr>
              <w:t>按照吉林省农业农村厅关于印发《吉林省“中国渔政亮剑2022”系列专项执法行动方案》的通知（吉农渔发〔2024〕2号）</w:t>
            </w:r>
            <w:r>
              <w:rPr>
                <w:rFonts w:hint="default" w:ascii="仿宋_GB2312" w:eastAsia="仿宋_GB2312" w:cs="仿宋_GB2312"/>
                <w:color w:val="000000" w:themeColor="text1"/>
                <w:spacing w:val="6"/>
                <w:sz w:val="24"/>
                <w:szCs w:val="24"/>
                <w:lang w:val="en-US" w:eastAsia="zh-CN"/>
                <w14:textFill>
                  <w14:solidFill>
                    <w14:schemeClr w14:val="tx1"/>
                  </w14:solidFill>
                </w14:textFill>
              </w:rPr>
              <w:t>部署，在全</w:t>
            </w:r>
            <w:r>
              <w:rPr>
                <w:rFonts w:hint="eastAsia" w:ascii="仿宋_GB2312" w:eastAsia="仿宋_GB2312" w:cs="仿宋_GB2312"/>
                <w:color w:val="000000" w:themeColor="text1"/>
                <w:spacing w:val="6"/>
                <w:sz w:val="24"/>
                <w:szCs w:val="24"/>
                <w:lang w:val="en-US" w:eastAsia="zh-CN"/>
                <w14:textFill>
                  <w14:solidFill>
                    <w14:schemeClr w14:val="tx1"/>
                  </w14:solidFill>
                </w14:textFill>
              </w:rPr>
              <w:t>县</w:t>
            </w:r>
            <w:r>
              <w:rPr>
                <w:rFonts w:hint="default" w:ascii="仿宋_GB2312" w:eastAsia="仿宋_GB2312" w:cs="仿宋_GB2312"/>
                <w:color w:val="000000" w:themeColor="text1"/>
                <w:spacing w:val="6"/>
                <w:sz w:val="24"/>
                <w:szCs w:val="24"/>
                <w:lang w:val="en-US" w:eastAsia="zh-CN"/>
                <w14:textFill>
                  <w14:solidFill>
                    <w14:schemeClr w14:val="tx1"/>
                  </w14:solidFill>
                </w14:textFill>
              </w:rPr>
              <w:t>范围内开展</w:t>
            </w:r>
            <w:r>
              <w:rPr>
                <w:rFonts w:hint="eastAsia" w:ascii="仿宋_GB2312" w:eastAsia="仿宋_GB2312" w:cs="仿宋_GB2312"/>
                <w:color w:val="000000" w:themeColor="text1"/>
                <w:spacing w:val="6"/>
                <w:sz w:val="24"/>
                <w:szCs w:val="24"/>
                <w:lang w:val="en-US" w:eastAsia="zh-CN"/>
                <w14:textFill>
                  <w14:solidFill>
                    <w14:schemeClr w14:val="tx1"/>
                  </w14:solidFill>
                </w14:textFill>
              </w:rPr>
              <w:t>“</w:t>
            </w:r>
            <w:r>
              <w:rPr>
                <w:rFonts w:hint="default" w:ascii="仿宋_GB2312" w:eastAsia="仿宋_GB2312" w:cs="仿宋_GB2312"/>
                <w:color w:val="000000" w:themeColor="text1"/>
                <w:spacing w:val="6"/>
                <w:sz w:val="24"/>
                <w:szCs w:val="24"/>
                <w:lang w:val="en-US" w:eastAsia="zh-CN"/>
                <w14:textFill>
                  <w14:solidFill>
                    <w14:schemeClr w14:val="tx1"/>
                  </w14:solidFill>
                </w14:textFill>
              </w:rPr>
              <w:t>中国渔政亮剑 2024</w:t>
            </w:r>
            <w:r>
              <w:rPr>
                <w:rFonts w:hint="eastAsia" w:ascii="仿宋_GB2312" w:eastAsia="仿宋_GB2312" w:cs="仿宋_GB2312"/>
                <w:color w:val="000000" w:themeColor="text1"/>
                <w:spacing w:val="6"/>
                <w:sz w:val="24"/>
                <w:szCs w:val="24"/>
                <w:lang w:val="en-US" w:eastAsia="zh-CN"/>
                <w14:textFill>
                  <w14:solidFill>
                    <w14:schemeClr w14:val="tx1"/>
                  </w14:solidFill>
                </w14:textFill>
              </w:rPr>
              <w:t>”</w:t>
            </w:r>
            <w:r>
              <w:rPr>
                <w:rFonts w:hint="default" w:ascii="仿宋_GB2312" w:eastAsia="仿宋_GB2312" w:cs="仿宋_GB2312"/>
                <w:color w:val="000000" w:themeColor="text1"/>
                <w:spacing w:val="6"/>
                <w:sz w:val="24"/>
                <w:szCs w:val="24"/>
                <w:lang w:val="en-US" w:eastAsia="zh-CN"/>
                <w14:textFill>
                  <w14:solidFill>
                    <w14:schemeClr w14:val="tx1"/>
                  </w14:solidFill>
                </w14:textFill>
              </w:rPr>
              <w:t xml:space="preserve">系列专项执法行动（以下简称 </w:t>
            </w:r>
            <w:r>
              <w:rPr>
                <w:rFonts w:hint="eastAsia" w:ascii="仿宋_GB2312" w:eastAsia="仿宋_GB2312" w:cs="仿宋_GB2312"/>
                <w:color w:val="000000" w:themeColor="text1"/>
                <w:spacing w:val="6"/>
                <w:sz w:val="24"/>
                <w:szCs w:val="24"/>
                <w:lang w:val="en-US" w:eastAsia="zh-CN"/>
                <w14:textFill>
                  <w14:solidFill>
                    <w14:schemeClr w14:val="tx1"/>
                  </w14:solidFill>
                </w14:textFill>
              </w:rPr>
              <w:t>“</w:t>
            </w:r>
            <w:r>
              <w:rPr>
                <w:rFonts w:hint="default" w:ascii="仿宋_GB2312" w:eastAsia="仿宋_GB2312" w:cs="仿宋_GB2312"/>
                <w:color w:val="000000" w:themeColor="text1"/>
                <w:spacing w:val="6"/>
                <w:sz w:val="24"/>
                <w:szCs w:val="24"/>
                <w:lang w:val="en-US" w:eastAsia="zh-CN"/>
                <w14:textFill>
                  <w14:solidFill>
                    <w14:schemeClr w14:val="tx1"/>
                  </w14:solidFill>
                </w14:textFill>
              </w:rPr>
              <w:t>亮剑 2024</w:t>
            </w:r>
            <w:r>
              <w:rPr>
                <w:rFonts w:hint="eastAsia" w:ascii="仿宋_GB2312" w:eastAsia="仿宋_GB2312" w:cs="仿宋_GB2312"/>
                <w:color w:val="000000" w:themeColor="text1"/>
                <w:spacing w:val="6"/>
                <w:sz w:val="24"/>
                <w:szCs w:val="24"/>
                <w:lang w:val="en-US" w:eastAsia="zh-CN"/>
                <w14:textFill>
                  <w14:solidFill>
                    <w14:schemeClr w14:val="tx1"/>
                  </w14:solidFill>
                </w14:textFill>
              </w:rPr>
              <w:t>”</w:t>
            </w:r>
            <w:r>
              <w:rPr>
                <w:rFonts w:hint="default" w:ascii="仿宋_GB2312" w:eastAsia="仿宋_GB2312" w:cs="仿宋_GB2312"/>
                <w:color w:val="000000" w:themeColor="text1"/>
                <w:spacing w:val="6"/>
                <w:sz w:val="24"/>
                <w:szCs w:val="24"/>
                <w:lang w:val="en-US" w:eastAsia="zh-CN"/>
                <w14:textFill>
                  <w14:solidFill>
                    <w14:schemeClr w14:val="tx1"/>
                  </w14:solidFill>
                </w14:textFill>
              </w:rPr>
              <w:t xml:space="preserve">), </w:t>
            </w:r>
            <w:r>
              <w:rPr>
                <w:rFonts w:hint="eastAsia" w:ascii="仿宋_GB2312" w:eastAsia="仿宋_GB2312" w:cs="仿宋_GB2312"/>
                <w:color w:val="000000" w:themeColor="text1"/>
                <w:spacing w:val="6"/>
                <w:sz w:val="24"/>
                <w:szCs w:val="24"/>
                <w:lang w:val="en-US" w:eastAsia="zh-CN"/>
                <w14:textFill>
                  <w14:solidFill>
                    <w14:schemeClr w14:val="tx1"/>
                  </w14:solidFill>
                </w14:textFill>
              </w:rPr>
              <w:t>并</w:t>
            </w:r>
            <w:r>
              <w:rPr>
                <w:rFonts w:hint="default" w:ascii="仿宋_GB2312" w:eastAsia="仿宋_GB2312" w:cs="仿宋_GB2312"/>
                <w:color w:val="000000" w:themeColor="text1"/>
                <w:spacing w:val="6"/>
                <w:sz w:val="24"/>
                <w:szCs w:val="24"/>
                <w:lang w:val="en-US" w:eastAsia="zh-CN"/>
                <w14:textFill>
                  <w14:solidFill>
                    <w14:schemeClr w14:val="tx1"/>
                  </w14:solidFill>
                </w14:textFill>
              </w:rPr>
              <w:t>制定</w:t>
            </w:r>
            <w:r>
              <w:rPr>
                <w:rFonts w:hint="eastAsia" w:ascii="仿宋_GB2312" w:eastAsia="仿宋_GB2312" w:cs="仿宋_GB2312"/>
                <w:color w:val="000000" w:themeColor="text1"/>
                <w:spacing w:val="6"/>
                <w:sz w:val="24"/>
                <w:szCs w:val="24"/>
                <w:lang w:val="en-US" w:eastAsia="zh-CN"/>
                <w14:textFill>
                  <w14:solidFill>
                    <w14:schemeClr w14:val="tx1"/>
                  </w14:solidFill>
                </w14:textFill>
              </w:rPr>
              <w:t>《长白县“中国渔政亮剑2024”系列专项执法行动实施方案》</w:t>
            </w:r>
            <w:r>
              <w:rPr>
                <w:rFonts w:hint="default" w:ascii="仿宋_GB2312" w:eastAsia="仿宋_GB2312" w:cs="仿宋_GB2312"/>
                <w:color w:val="000000" w:themeColor="text1"/>
                <w:spacing w:val="6"/>
                <w:sz w:val="24"/>
                <w:szCs w:val="24"/>
                <w:lang w:val="en-US" w:eastAsia="zh-CN"/>
                <w14:textFill>
                  <w14:solidFill>
                    <w14:schemeClr w14:val="tx1"/>
                  </w14:solidFill>
                </w14:textFill>
              </w:rPr>
              <w:t>。</w:t>
            </w:r>
            <w:r>
              <w:rPr>
                <w:rFonts w:hint="eastAsia" w:ascii="仿宋_GB2312" w:eastAsia="仿宋_GB2312" w:cs="仿宋_GB2312"/>
                <w:color w:val="000000" w:themeColor="text1"/>
                <w:spacing w:val="6"/>
                <w:sz w:val="24"/>
                <w:szCs w:val="24"/>
                <w:lang w:val="en-US" w:eastAsia="zh-CN"/>
                <w14:textFill>
                  <w14:solidFill>
                    <w14:schemeClr w14:val="tx1"/>
                  </w14:solidFill>
                </w14:textFill>
              </w:rPr>
              <w:t>在禁渔期开展禁渔宣传活动，执法人员对鸭绿江界257公里的江段巡回检查，截止2023年末共出动执法人员397人次，出动车辆71台次，检查经营门店305家次。立案8件，结案8件。</w:t>
            </w:r>
          </w:p>
          <w:p>
            <w:pPr>
              <w:keepNext w:val="0"/>
              <w:keepLines w:val="0"/>
              <w:pageBreakBefore w:val="0"/>
              <w:widowControl w:val="0"/>
              <w:numPr>
                <w:ilvl w:val="0"/>
                <w:numId w:val="0"/>
              </w:numPr>
              <w:kinsoku/>
              <w:wordWrap/>
              <w:overflowPunct/>
              <w:topLinePunct w:val="0"/>
              <w:autoSpaceDE/>
              <w:autoSpaceDN/>
              <w:bidi w:val="0"/>
              <w:adjustRightInd/>
              <w:snapToGrid/>
              <w:ind w:firstLine="504" w:firstLineChars="200"/>
              <w:jc w:val="both"/>
              <w:textAlignment w:val="auto"/>
              <w:rPr>
                <w:rFonts w:hint="eastAsia" w:ascii="仿宋_GB2312" w:eastAsia="仿宋_GB2312" w:cs="仿宋_GB2312"/>
                <w:color w:val="000000" w:themeColor="text1"/>
                <w:spacing w:val="6"/>
                <w:sz w:val="24"/>
                <w:szCs w:val="24"/>
                <w:lang w:val="en-US" w:eastAsia="zh-CN"/>
                <w14:textFill>
                  <w14:solidFill>
                    <w14:schemeClr w14:val="tx1"/>
                  </w14:solidFill>
                </w14:textFill>
              </w:rPr>
            </w:pPr>
          </w:p>
          <w:p>
            <w:pPr>
              <w:pStyle w:val="4"/>
              <w:ind w:left="0" w:leftChars="0" w:firstLine="0" w:firstLineChars="0"/>
              <w:rPr>
                <w:rFonts w:hint="default" w:ascii="仿宋_GB2312" w:eastAsia="仿宋_GB2312" w:cs="仿宋_GB2312"/>
                <w:spacing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880" w:type="dxa"/>
            <w:vAlign w:val="center"/>
          </w:tcPr>
          <w:p>
            <w:pPr>
              <w:spacing w:line="460" w:lineRule="exact"/>
              <w:jc w:val="center"/>
              <w:rPr>
                <w:rFonts w:ascii="仿宋_GB2312" w:eastAsia="仿宋_GB2312" w:cs="楷体"/>
                <w:sz w:val="28"/>
                <w:szCs w:val="28"/>
              </w:rPr>
            </w:pPr>
            <w:r>
              <w:rPr>
                <w:rFonts w:hint="eastAsia" w:ascii="仿宋_GB2312" w:eastAsia="仿宋_GB2312" w:cs="楷体"/>
                <w:sz w:val="28"/>
                <w:szCs w:val="28"/>
              </w:rPr>
              <w:t>责任单位</w:t>
            </w:r>
          </w:p>
          <w:p>
            <w:pPr>
              <w:spacing w:line="460" w:lineRule="exact"/>
              <w:jc w:val="center"/>
              <w:rPr>
                <w:rFonts w:ascii="仿宋_GB2312" w:eastAsia="仿宋_GB2312" w:cs="楷体"/>
                <w:sz w:val="28"/>
                <w:szCs w:val="28"/>
              </w:rPr>
            </w:pPr>
            <w:r>
              <w:rPr>
                <w:rFonts w:hint="eastAsia" w:ascii="仿宋_GB2312" w:eastAsia="仿宋_GB2312" w:cs="楷体"/>
                <w:sz w:val="28"/>
                <w:szCs w:val="28"/>
              </w:rPr>
              <w:t>党政主要</w:t>
            </w:r>
          </w:p>
          <w:p>
            <w:pPr>
              <w:spacing w:line="460" w:lineRule="exact"/>
              <w:jc w:val="center"/>
              <w:rPr>
                <w:rFonts w:ascii="仿宋_GB2312" w:eastAsia="仿宋_GB2312" w:cs="楷体"/>
                <w:sz w:val="28"/>
                <w:szCs w:val="28"/>
              </w:rPr>
            </w:pPr>
            <w:r>
              <w:rPr>
                <w:rFonts w:hint="eastAsia" w:ascii="仿宋_GB2312" w:eastAsia="仿宋_GB2312" w:cs="楷体"/>
                <w:sz w:val="28"/>
                <w:szCs w:val="28"/>
              </w:rPr>
              <w:t>领导（签字）</w:t>
            </w:r>
          </w:p>
        </w:tc>
        <w:tc>
          <w:tcPr>
            <w:tcW w:w="7372" w:type="dxa"/>
            <w:vAlign w:val="center"/>
          </w:tcPr>
          <w:p>
            <w:pPr>
              <w:spacing w:line="460" w:lineRule="exact"/>
              <w:jc w:val="both"/>
              <w:rPr>
                <w:rFonts w:ascii="仿宋_GB2312" w:eastAsia="仿宋_GB2312" w:cs="楷体"/>
                <w:sz w:val="28"/>
                <w:szCs w:val="28"/>
              </w:rPr>
            </w:pPr>
          </w:p>
          <w:p>
            <w:pPr>
              <w:spacing w:line="460" w:lineRule="exact"/>
              <w:jc w:val="center"/>
              <w:rPr>
                <w:rFonts w:hint="eastAsia" w:ascii="仿宋_GB2312" w:eastAsia="仿宋_GB2312" w:cs="楷体"/>
                <w:sz w:val="28"/>
                <w:szCs w:val="28"/>
              </w:rPr>
            </w:pPr>
            <w:r>
              <w:rPr>
                <w:rFonts w:hint="eastAsia" w:ascii="仿宋_GB2312" w:eastAsia="仿宋_GB2312" w:cs="楷体"/>
                <w:sz w:val="28"/>
                <w:szCs w:val="28"/>
              </w:rPr>
              <w:t xml:space="preserve">                          </w:t>
            </w:r>
          </w:p>
          <w:p>
            <w:pPr>
              <w:spacing w:line="460" w:lineRule="exact"/>
              <w:jc w:val="center"/>
              <w:rPr>
                <w:rFonts w:ascii="仿宋_GB2312" w:eastAsia="仿宋_GB2312" w:cs="楷体"/>
                <w:sz w:val="28"/>
                <w:szCs w:val="28"/>
              </w:rPr>
            </w:pPr>
            <w:r>
              <w:rPr>
                <w:rFonts w:hint="eastAsia" w:ascii="仿宋_GB2312" w:eastAsia="仿宋_GB2312" w:cs="楷体"/>
                <w:sz w:val="28"/>
                <w:szCs w:val="28"/>
                <w:lang w:val="en-US" w:eastAsia="zh-CN"/>
              </w:rPr>
              <w:t xml:space="preserve">                           </w:t>
            </w:r>
            <w:r>
              <w:rPr>
                <w:rFonts w:hint="eastAsia" w:ascii="仿宋_GB2312" w:eastAsia="仿宋_GB2312" w:cs="楷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880" w:type="dxa"/>
            <w:vAlign w:val="center"/>
          </w:tcPr>
          <w:p>
            <w:pPr>
              <w:spacing w:line="460" w:lineRule="exact"/>
              <w:jc w:val="center"/>
              <w:rPr>
                <w:rFonts w:ascii="仿宋_GB2312" w:eastAsia="仿宋_GB2312" w:cs="楷体"/>
                <w:sz w:val="28"/>
                <w:szCs w:val="28"/>
              </w:rPr>
            </w:pPr>
            <w:r>
              <w:rPr>
                <w:rFonts w:hint="eastAsia" w:ascii="仿宋_GB2312" w:eastAsia="仿宋_GB2312" w:cs="楷体"/>
                <w:sz w:val="28"/>
                <w:szCs w:val="28"/>
              </w:rPr>
              <w:t>主管县领导（签字）</w:t>
            </w:r>
          </w:p>
        </w:tc>
        <w:tc>
          <w:tcPr>
            <w:tcW w:w="7372" w:type="dxa"/>
            <w:vAlign w:val="center"/>
          </w:tcPr>
          <w:p>
            <w:pPr>
              <w:spacing w:line="460" w:lineRule="exact"/>
              <w:jc w:val="both"/>
              <w:rPr>
                <w:rFonts w:ascii="仿宋_GB2312" w:eastAsia="仿宋_GB2312" w:cs="楷体"/>
                <w:sz w:val="28"/>
                <w:szCs w:val="28"/>
              </w:rPr>
            </w:pPr>
          </w:p>
          <w:p>
            <w:pPr>
              <w:spacing w:line="460" w:lineRule="exact"/>
              <w:jc w:val="center"/>
              <w:rPr>
                <w:rFonts w:ascii="仿宋_GB2312" w:eastAsia="仿宋_GB2312" w:cs="楷体"/>
                <w:sz w:val="28"/>
                <w:szCs w:val="28"/>
              </w:rPr>
            </w:pPr>
          </w:p>
          <w:p>
            <w:pPr>
              <w:pStyle w:val="4"/>
              <w:rPr>
                <w:rFonts w:ascii="仿宋_GB2312" w:eastAsia="仿宋_GB2312" w:cs="楷体"/>
                <w:sz w:val="28"/>
                <w:szCs w:val="28"/>
              </w:rPr>
            </w:pPr>
          </w:p>
          <w:p>
            <w:pPr>
              <w:pStyle w:val="4"/>
              <w:rPr>
                <w:rFonts w:ascii="仿宋_GB2312" w:eastAsia="仿宋_GB2312" w:cs="楷体"/>
                <w:sz w:val="28"/>
                <w:szCs w:val="28"/>
              </w:rPr>
            </w:pPr>
          </w:p>
          <w:p>
            <w:pPr>
              <w:pStyle w:val="4"/>
              <w:rPr>
                <w:rFonts w:ascii="仿宋_GB2312" w:eastAsia="仿宋_GB2312" w:cs="楷体"/>
                <w:sz w:val="28"/>
                <w:szCs w:val="28"/>
              </w:rPr>
            </w:pPr>
          </w:p>
          <w:p>
            <w:pPr>
              <w:spacing w:line="460" w:lineRule="exact"/>
              <w:jc w:val="both"/>
              <w:rPr>
                <w:rFonts w:ascii="仿宋_GB2312" w:eastAsia="仿宋_GB2312" w:cs="楷体"/>
                <w:sz w:val="28"/>
                <w:szCs w:val="28"/>
              </w:rPr>
            </w:pPr>
            <w:r>
              <w:rPr>
                <w:rFonts w:hint="eastAsia" w:ascii="仿宋_GB2312" w:eastAsia="仿宋_GB2312" w:cs="楷体"/>
                <w:sz w:val="28"/>
                <w:szCs w:val="28"/>
              </w:rPr>
              <w:t xml:space="preserve">                           年   月    日</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MzcwZTgwY2Y2MWJjMGE0MDFlMzczNmQ4OTEzNTQifQ=="/>
  </w:docVars>
  <w:rsids>
    <w:rsidRoot w:val="00000000"/>
    <w:rsid w:val="142D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首行缩进 21"/>
    <w:basedOn w:val="5"/>
    <w:qFormat/>
    <w:uiPriority w:val="0"/>
    <w:pPr>
      <w:ind w:firstLine="200" w:firstLineChars="200"/>
    </w:pPr>
  </w:style>
  <w:style w:type="paragraph" w:customStyle="1" w:styleId="5">
    <w:name w:val="正文文本缩进1"/>
    <w:basedOn w:val="1"/>
    <w:next w:val="6"/>
    <w:autoRedefine/>
    <w:qFormat/>
    <w:uiPriority w:val="0"/>
    <w:pPr>
      <w:ind w:left="200" w:leftChars="200"/>
    </w:pPr>
  </w:style>
  <w:style w:type="paragraph" w:customStyle="1" w:styleId="6">
    <w:name w:val="正文缩进1"/>
    <w:basedOn w:val="1"/>
    <w:qFormat/>
    <w:uiPriority w:val="0"/>
    <w:pPr>
      <w:ind w:firstLine="200" w:firstLineChars="200"/>
    </w:pPr>
    <w:rPr>
      <w:rFonts w:eastAsia="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2024-05-20T04:34:50Z</dcterms:created>
  <dc:creator>Administrator</dc:creator>
  <cp:lastModifiedBy>Administrator</cp:lastModifiedBy>
  <dcterms:modified xsi:type="dcterms:W3CDTF">2024-05-20T04:34:53Z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AA2F8F2E168A408B9753C567EF1C2915_12</vt:lpwstr>
  </property>
</Properties>
</file>