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44" w:rsidRDefault="000D7844">
      <w:pPr>
        <w:jc w:val="center"/>
        <w:rPr>
          <w:rFonts w:ascii="仿宋_GB2312" w:eastAsia="仿宋_GB2312" w:hAnsi="仿宋_GB2312" w:cs="仿宋_GB2312"/>
          <w:b/>
          <w:bCs/>
          <w:sz w:val="32"/>
          <w:szCs w:val="32"/>
        </w:rPr>
      </w:pPr>
    </w:p>
    <w:p w:rsidR="000D7844" w:rsidRDefault="00513A1F" w:rsidP="00513A1F">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白山市生态环境局长白朝鲜族自治县分局</w:t>
      </w:r>
      <w:r w:rsidR="00B101AB">
        <w:rPr>
          <w:rFonts w:ascii="仿宋_GB2312" w:eastAsia="仿宋_GB2312" w:hAnsi="仿宋_GB2312" w:cs="仿宋_GB2312" w:hint="eastAsia"/>
          <w:b/>
          <w:bCs/>
          <w:sz w:val="32"/>
          <w:szCs w:val="32"/>
        </w:rPr>
        <w:t>央生态环境保护督察反馈问题整改任务（序号</w:t>
      </w:r>
      <w:r w:rsidR="00533EE0">
        <w:rPr>
          <w:rFonts w:ascii="仿宋_GB2312" w:eastAsia="仿宋_GB2312" w:hAnsi="仿宋_GB2312" w:cs="仿宋_GB2312" w:hint="eastAsia"/>
          <w:b/>
          <w:bCs/>
          <w:sz w:val="32"/>
          <w:szCs w:val="32"/>
        </w:rPr>
        <w:t>21</w:t>
      </w:r>
      <w:r w:rsidR="00B101AB">
        <w:rPr>
          <w:rFonts w:ascii="仿宋_GB2312" w:eastAsia="仿宋_GB2312" w:hAnsi="仿宋_GB2312" w:cs="仿宋_GB2312" w:hint="eastAsia"/>
          <w:b/>
          <w:bCs/>
          <w:sz w:val="32"/>
          <w:szCs w:val="32"/>
        </w:rPr>
        <w:t>）销号确认表</w:t>
      </w:r>
    </w:p>
    <w:p w:rsidR="00525028" w:rsidRDefault="00B101AB">
      <w:pPr>
        <w:rPr>
          <w:sz w:val="28"/>
          <w:szCs w:val="28"/>
        </w:rPr>
      </w:pPr>
      <w:r>
        <w:rPr>
          <w:rFonts w:hint="eastAsia"/>
          <w:sz w:val="28"/>
          <w:szCs w:val="28"/>
        </w:rPr>
        <w:t>填报单位（盖章）：</w:t>
      </w:r>
      <w:r w:rsidR="00513A1F">
        <w:rPr>
          <w:rFonts w:hint="eastAsia"/>
          <w:sz w:val="28"/>
          <w:szCs w:val="28"/>
        </w:rPr>
        <w:t>白山市生态环境局长白朝鲜族自治县分局</w:t>
      </w:r>
    </w:p>
    <w:p w:rsidR="000D7844" w:rsidRDefault="00513A1F" w:rsidP="00525028">
      <w:pPr>
        <w:jc w:val="right"/>
        <w:rPr>
          <w:sz w:val="28"/>
          <w:szCs w:val="28"/>
        </w:rPr>
      </w:pPr>
      <w:r>
        <w:rPr>
          <w:rFonts w:hint="eastAsia"/>
          <w:sz w:val="28"/>
          <w:szCs w:val="28"/>
        </w:rPr>
        <w:t xml:space="preserve"> </w:t>
      </w:r>
      <w:r w:rsidR="00B101AB">
        <w:rPr>
          <w:rFonts w:hint="eastAsia"/>
          <w:sz w:val="28"/>
          <w:szCs w:val="28"/>
        </w:rPr>
        <w:t>时间：</w:t>
      </w:r>
      <w:r w:rsidR="00B101AB">
        <w:rPr>
          <w:rFonts w:hint="eastAsia"/>
          <w:sz w:val="28"/>
          <w:szCs w:val="28"/>
        </w:rPr>
        <w:t>2022</w:t>
      </w:r>
      <w:r w:rsidR="00B101AB">
        <w:rPr>
          <w:rFonts w:hint="eastAsia"/>
          <w:sz w:val="28"/>
          <w:szCs w:val="28"/>
        </w:rPr>
        <w:t>年</w:t>
      </w:r>
      <w:r w:rsidR="004C207A">
        <w:rPr>
          <w:rFonts w:hint="eastAsia"/>
          <w:sz w:val="28"/>
          <w:szCs w:val="28"/>
        </w:rPr>
        <w:t>12</w:t>
      </w:r>
      <w:r w:rsidR="00B101AB">
        <w:rPr>
          <w:rFonts w:hint="eastAsia"/>
          <w:sz w:val="28"/>
          <w:szCs w:val="28"/>
        </w:rPr>
        <w:t>月</w:t>
      </w:r>
      <w:r w:rsidR="00533EE0">
        <w:rPr>
          <w:rFonts w:hint="eastAsia"/>
          <w:sz w:val="28"/>
          <w:szCs w:val="28"/>
        </w:rPr>
        <w:t>20</w:t>
      </w:r>
      <w:r w:rsidR="00B101AB">
        <w:rPr>
          <w:rFonts w:hint="eastAsia"/>
          <w:sz w:val="28"/>
          <w:szCs w:val="28"/>
        </w:rPr>
        <w:t>日</w:t>
      </w:r>
    </w:p>
    <w:tbl>
      <w:tblPr>
        <w:tblStyle w:val="a3"/>
        <w:tblW w:w="9243" w:type="dxa"/>
        <w:jc w:val="center"/>
        <w:tblLook w:val="04A0"/>
      </w:tblPr>
      <w:tblGrid>
        <w:gridCol w:w="1809"/>
        <w:gridCol w:w="7434"/>
      </w:tblGrid>
      <w:tr w:rsidR="000D7844" w:rsidTr="00533EE0">
        <w:trPr>
          <w:trHeight w:val="1299"/>
          <w:jc w:val="center"/>
        </w:trPr>
        <w:tc>
          <w:tcPr>
            <w:tcW w:w="1809" w:type="dxa"/>
            <w:vAlign w:val="center"/>
          </w:tcPr>
          <w:p w:rsidR="000D7844" w:rsidRDefault="00B101AB">
            <w:pPr>
              <w:jc w:val="center"/>
              <w:rPr>
                <w:sz w:val="28"/>
                <w:szCs w:val="28"/>
              </w:rPr>
            </w:pPr>
            <w:r>
              <w:rPr>
                <w:rFonts w:hint="eastAsia"/>
                <w:sz w:val="28"/>
                <w:szCs w:val="28"/>
              </w:rPr>
              <w:t>整改任务</w:t>
            </w:r>
          </w:p>
        </w:tc>
        <w:tc>
          <w:tcPr>
            <w:tcW w:w="7434" w:type="dxa"/>
          </w:tcPr>
          <w:p w:rsidR="000D7844" w:rsidRPr="00533EE0" w:rsidRDefault="00533EE0" w:rsidP="00533EE0">
            <w:pPr>
              <w:ind w:firstLineChars="200" w:firstLine="600"/>
              <w:rPr>
                <w:rFonts w:ascii="仿宋" w:eastAsia="仿宋" w:hAnsi="仿宋" w:cs="仿宋"/>
                <w:sz w:val="30"/>
                <w:szCs w:val="30"/>
              </w:rPr>
            </w:pPr>
            <w:r w:rsidRPr="00F85534">
              <w:rPr>
                <w:rFonts w:ascii="仿宋" w:eastAsia="仿宋" w:hAnsi="仿宋" w:cs="仿宋" w:hint="eastAsia"/>
                <w:sz w:val="30"/>
                <w:szCs w:val="30"/>
              </w:rPr>
              <w:t>一些自然保护区违法问题整改不到位。白山市长白朝鲜族自治县长白旅游有限公司在鸭绿江上游国家级自然保护区缓冲区内长期违法开展旅游活动，2017年以来每年接待游客数万人次。</w:t>
            </w:r>
            <w:r w:rsidR="00513A1F" w:rsidRPr="00513A1F">
              <w:rPr>
                <w:rFonts w:ascii="仿宋" w:eastAsia="仿宋" w:hAnsi="仿宋" w:cs="仿宋" w:hint="eastAsia"/>
                <w:sz w:val="30"/>
                <w:szCs w:val="30"/>
              </w:rPr>
              <w:t xml:space="preserve">                                                      </w:t>
            </w:r>
          </w:p>
        </w:tc>
      </w:tr>
      <w:tr w:rsidR="000D7844" w:rsidTr="00533EE0">
        <w:trPr>
          <w:trHeight w:val="1420"/>
          <w:jc w:val="center"/>
        </w:trPr>
        <w:tc>
          <w:tcPr>
            <w:tcW w:w="1809" w:type="dxa"/>
            <w:vAlign w:val="center"/>
          </w:tcPr>
          <w:p w:rsidR="000D7844" w:rsidRDefault="00B101AB">
            <w:pPr>
              <w:jc w:val="center"/>
              <w:rPr>
                <w:sz w:val="28"/>
                <w:szCs w:val="28"/>
              </w:rPr>
            </w:pPr>
            <w:r>
              <w:rPr>
                <w:rFonts w:hint="eastAsia"/>
                <w:sz w:val="28"/>
                <w:szCs w:val="28"/>
              </w:rPr>
              <w:t>整改目标</w:t>
            </w:r>
          </w:p>
        </w:tc>
        <w:tc>
          <w:tcPr>
            <w:tcW w:w="7434" w:type="dxa"/>
          </w:tcPr>
          <w:p w:rsidR="004C207A" w:rsidRPr="00533EE0" w:rsidRDefault="00533EE0">
            <w:pPr>
              <w:spacing w:line="520" w:lineRule="exact"/>
              <w:rPr>
                <w:rFonts w:ascii="仿宋" w:eastAsia="仿宋" w:hAnsi="仿宋" w:cs="仿宋"/>
                <w:sz w:val="30"/>
                <w:szCs w:val="30"/>
              </w:rPr>
            </w:pPr>
            <w:r w:rsidRPr="00533EE0">
              <w:rPr>
                <w:rFonts w:ascii="仿宋" w:eastAsia="仿宋" w:hAnsi="仿宋" w:cs="仿宋" w:hint="eastAsia"/>
                <w:sz w:val="30"/>
                <w:szCs w:val="30"/>
              </w:rPr>
              <w:t>切实提高政治站位，充分认识自然保护区对生态环境保护的重要性和紧迫性，对“绿盾”专项行动发现的问题整改情况进行“回头看”，做到排查问题不留死角、不留盲区，扎实推进问题处理和整改，全方位推进自然保护区问题整改工作。</w:t>
            </w:r>
          </w:p>
        </w:tc>
      </w:tr>
      <w:tr w:rsidR="000D7844" w:rsidTr="00533EE0">
        <w:trPr>
          <w:trHeight w:val="1010"/>
          <w:jc w:val="center"/>
        </w:trPr>
        <w:tc>
          <w:tcPr>
            <w:tcW w:w="1809" w:type="dxa"/>
            <w:vAlign w:val="center"/>
          </w:tcPr>
          <w:p w:rsidR="000D7844" w:rsidRDefault="00B101AB">
            <w:pPr>
              <w:jc w:val="center"/>
              <w:rPr>
                <w:sz w:val="28"/>
                <w:szCs w:val="28"/>
              </w:rPr>
            </w:pPr>
            <w:r>
              <w:rPr>
                <w:rFonts w:hint="eastAsia"/>
                <w:sz w:val="28"/>
                <w:szCs w:val="28"/>
              </w:rPr>
              <w:t>整改措施</w:t>
            </w:r>
          </w:p>
        </w:tc>
        <w:tc>
          <w:tcPr>
            <w:tcW w:w="7434" w:type="dxa"/>
          </w:tcPr>
          <w:p w:rsidR="00533EE0" w:rsidRDefault="00533EE0" w:rsidP="00533EE0">
            <w:pPr>
              <w:pStyle w:val="a6"/>
              <w:numPr>
                <w:ilvl w:val="0"/>
                <w:numId w:val="1"/>
              </w:numPr>
              <w:ind w:firstLineChars="0"/>
              <w:rPr>
                <w:rFonts w:ascii="仿宋" w:eastAsia="仿宋" w:hAnsi="仿宋" w:cs="仿宋"/>
                <w:sz w:val="30"/>
                <w:szCs w:val="30"/>
              </w:rPr>
            </w:pPr>
            <w:r w:rsidRPr="00F85534">
              <w:rPr>
                <w:rFonts w:ascii="仿宋" w:eastAsia="仿宋" w:hAnsi="仿宋" w:cs="仿宋" w:hint="eastAsia"/>
                <w:sz w:val="30"/>
                <w:szCs w:val="30"/>
              </w:rPr>
              <w:t>市生态环境局长白县分局会同县林业局进一步梳理全县自然保护区问题台账，对已经完成整改任务的，进行认真复查，查漏补缺，巩固成果；对需要长期监管的问题，制定有力有效的监管措施和办法，加大监管力度，确保问题不反弹、不扩大；对无需整改的问题进行再梳理认定，确保认定结果合法合规，确保佐证材料数据客观真实。加大监管力度，确保问题整改到位。</w:t>
            </w:r>
          </w:p>
          <w:p w:rsidR="00533EE0" w:rsidRDefault="00533EE0" w:rsidP="00533EE0">
            <w:pPr>
              <w:pStyle w:val="a6"/>
              <w:numPr>
                <w:ilvl w:val="0"/>
                <w:numId w:val="1"/>
              </w:numPr>
              <w:ind w:firstLineChars="0"/>
              <w:rPr>
                <w:rFonts w:ascii="仿宋" w:eastAsia="仿宋" w:hAnsi="仿宋" w:cs="仿宋"/>
                <w:sz w:val="30"/>
                <w:szCs w:val="30"/>
              </w:rPr>
            </w:pPr>
            <w:r w:rsidRPr="00F85534">
              <w:rPr>
                <w:rFonts w:ascii="仿宋" w:eastAsia="仿宋" w:hAnsi="仿宋" w:cs="仿宋" w:hint="eastAsia"/>
                <w:sz w:val="30"/>
                <w:szCs w:val="30"/>
              </w:rPr>
              <w:t>2022年12月底前，关闭望天鹅旅游景区，停止旅游活动。按照《关于建立以国家公园为主体的自然</w:t>
            </w:r>
            <w:r w:rsidRPr="00F85534">
              <w:rPr>
                <w:rFonts w:ascii="仿宋" w:eastAsia="仿宋" w:hAnsi="仿宋" w:cs="仿宋" w:hint="eastAsia"/>
                <w:sz w:val="30"/>
                <w:szCs w:val="30"/>
              </w:rPr>
              <w:lastRenderedPageBreak/>
              <w:t>保护地体系的指导意见》，待吉林鸭绿江上游国家级自然保护区优化整合方案批准后，按新的规划功能实施管控。</w:t>
            </w:r>
          </w:p>
          <w:p w:rsidR="00533EE0" w:rsidRDefault="00533EE0" w:rsidP="00533EE0">
            <w:pPr>
              <w:pStyle w:val="a6"/>
              <w:numPr>
                <w:ilvl w:val="0"/>
                <w:numId w:val="1"/>
              </w:numPr>
              <w:ind w:firstLineChars="0"/>
              <w:rPr>
                <w:rFonts w:ascii="仿宋" w:eastAsia="仿宋" w:hAnsi="仿宋" w:cs="仿宋"/>
                <w:sz w:val="30"/>
                <w:szCs w:val="30"/>
              </w:rPr>
            </w:pPr>
            <w:r w:rsidRPr="00F85534">
              <w:rPr>
                <w:rFonts w:ascii="仿宋" w:eastAsia="仿宋" w:hAnsi="仿宋" w:cs="仿宋" w:hint="eastAsia"/>
                <w:sz w:val="30"/>
                <w:szCs w:val="30"/>
              </w:rPr>
              <w:t>2022年12月底前，结合省委巡视“回头看”反馈问题整改，与修正集团就历史形成的望天鹅景区委托经营合同问题进行谈判，协商解决望天鹅景区经营开发权问题。</w:t>
            </w:r>
          </w:p>
          <w:p w:rsidR="00533EE0" w:rsidRDefault="00533EE0" w:rsidP="00533EE0">
            <w:pPr>
              <w:pStyle w:val="a6"/>
              <w:numPr>
                <w:ilvl w:val="0"/>
                <w:numId w:val="1"/>
              </w:numPr>
              <w:ind w:firstLineChars="0"/>
              <w:rPr>
                <w:rFonts w:ascii="仿宋" w:eastAsia="仿宋" w:hAnsi="仿宋" w:cs="仿宋"/>
                <w:sz w:val="30"/>
                <w:szCs w:val="30"/>
              </w:rPr>
            </w:pPr>
            <w:r w:rsidRPr="00F85534">
              <w:rPr>
                <w:rFonts w:ascii="仿宋" w:eastAsia="仿宋" w:hAnsi="仿宋" w:cs="仿宋" w:hint="eastAsia"/>
                <w:sz w:val="30"/>
                <w:szCs w:val="30"/>
              </w:rPr>
              <w:t>2022年12月底前，聘请有关机构，对在保护区缓冲区内开展旅游活动对生态环境造成影响进行</w:t>
            </w:r>
            <w:r>
              <w:rPr>
                <w:rFonts w:ascii="仿宋" w:eastAsia="仿宋" w:hAnsi="仿宋" w:cs="仿宋" w:hint="eastAsia"/>
                <w:sz w:val="30"/>
                <w:szCs w:val="30"/>
              </w:rPr>
              <w:t>评估，制定科学合理、切实可行的整改方案，按方案有序推进整改落实</w:t>
            </w:r>
            <w:r w:rsidRPr="00332693">
              <w:rPr>
                <w:rFonts w:ascii="仿宋" w:eastAsia="仿宋" w:hAnsi="仿宋" w:cs="仿宋" w:hint="eastAsia"/>
                <w:sz w:val="30"/>
                <w:szCs w:val="30"/>
              </w:rPr>
              <w:t>。</w:t>
            </w:r>
          </w:p>
          <w:p w:rsidR="000D7844" w:rsidRPr="00533EE0" w:rsidRDefault="00533EE0" w:rsidP="00533EE0">
            <w:pPr>
              <w:ind w:firstLineChars="200" w:firstLine="600"/>
              <w:rPr>
                <w:rFonts w:ascii="仿宋" w:eastAsia="仿宋" w:hAnsi="仿宋" w:cs="仿宋"/>
                <w:sz w:val="30"/>
                <w:szCs w:val="30"/>
              </w:rPr>
            </w:pPr>
            <w:r w:rsidRPr="00332693">
              <w:rPr>
                <w:rFonts w:ascii="仿宋" w:eastAsia="仿宋" w:hAnsi="仿宋" w:cs="仿宋" w:hint="eastAsia"/>
                <w:sz w:val="30"/>
                <w:szCs w:val="30"/>
              </w:rPr>
              <w:t>（五）</w:t>
            </w:r>
            <w:r w:rsidRPr="00F85534">
              <w:rPr>
                <w:rFonts w:ascii="仿宋" w:eastAsia="仿宋" w:hAnsi="仿宋" w:cs="仿宋" w:hint="eastAsia"/>
                <w:sz w:val="30"/>
                <w:szCs w:val="30"/>
              </w:rPr>
              <w:t>严格落实《中华人民共和国自然保护区管理条例》，严格生态红线管控，加强日常监管，在保护区核心区和缓冲区内严禁新改扩建旅游和其它设施。</w:t>
            </w:r>
          </w:p>
        </w:tc>
      </w:tr>
      <w:tr w:rsidR="000D7844" w:rsidTr="00533EE0">
        <w:trPr>
          <w:trHeight w:val="3531"/>
          <w:jc w:val="center"/>
        </w:trPr>
        <w:tc>
          <w:tcPr>
            <w:tcW w:w="1809" w:type="dxa"/>
            <w:vAlign w:val="center"/>
          </w:tcPr>
          <w:p w:rsidR="000D7844" w:rsidRDefault="00B101AB">
            <w:pPr>
              <w:jc w:val="center"/>
              <w:rPr>
                <w:sz w:val="28"/>
                <w:szCs w:val="28"/>
              </w:rPr>
            </w:pPr>
            <w:r>
              <w:rPr>
                <w:rFonts w:hint="eastAsia"/>
                <w:sz w:val="28"/>
                <w:szCs w:val="28"/>
              </w:rPr>
              <w:lastRenderedPageBreak/>
              <w:t>整改完成</w:t>
            </w:r>
          </w:p>
          <w:p w:rsidR="000D7844" w:rsidRDefault="00B101AB">
            <w:pPr>
              <w:jc w:val="center"/>
              <w:rPr>
                <w:sz w:val="28"/>
                <w:szCs w:val="28"/>
              </w:rPr>
            </w:pPr>
            <w:r>
              <w:rPr>
                <w:rFonts w:hint="eastAsia"/>
                <w:sz w:val="28"/>
                <w:szCs w:val="28"/>
              </w:rPr>
              <w:t>情况</w:t>
            </w:r>
          </w:p>
        </w:tc>
        <w:tc>
          <w:tcPr>
            <w:tcW w:w="7434" w:type="dxa"/>
          </w:tcPr>
          <w:p w:rsidR="00533EE0" w:rsidRDefault="00533EE0" w:rsidP="00533EE0">
            <w:pPr>
              <w:ind w:firstLineChars="200" w:firstLine="600"/>
              <w:rPr>
                <w:rFonts w:ascii="仿宋" w:eastAsia="仿宋" w:hAnsi="仿宋" w:cs="仿宋"/>
                <w:sz w:val="30"/>
                <w:szCs w:val="30"/>
              </w:rPr>
            </w:pPr>
            <w:r>
              <w:rPr>
                <w:rFonts w:ascii="仿宋" w:eastAsia="仿宋" w:hAnsi="仿宋" w:cs="仿宋" w:hint="eastAsia"/>
                <w:sz w:val="30"/>
                <w:szCs w:val="30"/>
              </w:rPr>
              <w:t>（一）</w:t>
            </w:r>
            <w:r w:rsidRPr="00F85534">
              <w:rPr>
                <w:rFonts w:ascii="仿宋" w:eastAsia="仿宋" w:hAnsi="仿宋" w:cs="仿宋" w:hint="eastAsia"/>
                <w:sz w:val="30"/>
                <w:szCs w:val="30"/>
              </w:rPr>
              <w:t>结合2021年“绿盾”专项行动，白山市生态环境局长白县分局联合林业局、鸭保局对保护区的已经完成整改的33项问题进行了“回头看”，认真复查，查漏补缺，巩固成果；对需要长期监管的问题，林业局、鸭保局、生态环境分局按职责分工加强监管，确保问题不反弹。</w:t>
            </w:r>
          </w:p>
          <w:p w:rsidR="00533EE0" w:rsidRDefault="00533EE0" w:rsidP="00533EE0">
            <w:pPr>
              <w:ind w:firstLineChars="200" w:firstLine="600"/>
              <w:rPr>
                <w:rFonts w:ascii="仿宋" w:eastAsia="仿宋" w:hAnsi="仿宋" w:cs="仿宋"/>
                <w:sz w:val="30"/>
                <w:szCs w:val="30"/>
              </w:rPr>
            </w:pPr>
            <w:r>
              <w:rPr>
                <w:rFonts w:ascii="仿宋" w:eastAsia="仿宋" w:hAnsi="仿宋" w:cs="仿宋" w:hint="eastAsia"/>
                <w:sz w:val="30"/>
                <w:szCs w:val="30"/>
              </w:rPr>
              <w:t>（二）</w:t>
            </w:r>
            <w:r w:rsidRPr="00F85534">
              <w:rPr>
                <w:rFonts w:ascii="仿宋" w:eastAsia="仿宋" w:hAnsi="仿宋" w:cs="仿宋" w:hint="eastAsia"/>
                <w:sz w:val="30"/>
                <w:szCs w:val="30"/>
              </w:rPr>
              <w:t>2021年12月，长白旅游有限公司关闭望天鹅旅游景区，停止旅游活动。</w:t>
            </w:r>
          </w:p>
          <w:p w:rsidR="00533EE0" w:rsidRPr="00BA764E" w:rsidRDefault="00533EE0" w:rsidP="00533EE0">
            <w:pPr>
              <w:ind w:firstLineChars="200" w:firstLine="600"/>
              <w:rPr>
                <w:rFonts w:ascii="仿宋" w:eastAsia="仿宋" w:hAnsi="仿宋" w:cs="仿宋"/>
                <w:sz w:val="30"/>
                <w:szCs w:val="30"/>
              </w:rPr>
            </w:pPr>
            <w:r w:rsidRPr="00BA764E">
              <w:rPr>
                <w:rFonts w:ascii="仿宋" w:eastAsia="仿宋" w:hAnsi="仿宋" w:cs="仿宋" w:hint="eastAsia"/>
                <w:sz w:val="30"/>
                <w:szCs w:val="30"/>
              </w:rPr>
              <w:t>（三）</w:t>
            </w:r>
            <w:r w:rsidRPr="00BA764E">
              <w:rPr>
                <w:rFonts w:ascii="仿宋" w:eastAsia="仿宋" w:hAnsi="仿宋" w:cs="Times New Roman" w:hint="eastAsia"/>
                <w:sz w:val="30"/>
                <w:szCs w:val="30"/>
              </w:rPr>
              <w:t>正视历史问题，依法依规合理调整。</w:t>
            </w:r>
            <w:r w:rsidRPr="00BA764E">
              <w:rPr>
                <w:rFonts w:ascii="仿宋" w:eastAsia="仿宋" w:hAnsi="仿宋" w:cs="Times New Roman"/>
                <w:sz w:val="30"/>
                <w:szCs w:val="30"/>
              </w:rPr>
              <w:t>2020</w:t>
            </w:r>
            <w:r w:rsidRPr="00BA764E">
              <w:rPr>
                <w:rFonts w:ascii="仿宋" w:eastAsia="仿宋" w:hAnsi="仿宋" w:cs="Times New Roman" w:hint="eastAsia"/>
                <w:sz w:val="30"/>
                <w:szCs w:val="30"/>
              </w:rPr>
              <w:t>年，</w:t>
            </w:r>
            <w:r w:rsidRPr="00BA764E">
              <w:rPr>
                <w:rFonts w:ascii="仿宋" w:eastAsia="仿宋" w:hAnsi="仿宋" w:cs="Times New Roman" w:hint="eastAsia"/>
                <w:sz w:val="30"/>
                <w:szCs w:val="30"/>
              </w:rPr>
              <w:lastRenderedPageBreak/>
              <w:t>根据自然资源部、国家林业和草原局《关于做好自然保护区范围及功能分区优化调整前期有关工作的函》（自然资函〔</w:t>
            </w:r>
            <w:r w:rsidRPr="00BA764E">
              <w:rPr>
                <w:rFonts w:ascii="仿宋" w:eastAsia="仿宋" w:hAnsi="仿宋" w:cs="Times New Roman"/>
                <w:sz w:val="30"/>
                <w:szCs w:val="30"/>
              </w:rPr>
              <w:t>2020</w:t>
            </w:r>
            <w:r w:rsidRPr="00BA764E">
              <w:rPr>
                <w:rFonts w:ascii="仿宋" w:eastAsia="仿宋" w:hAnsi="仿宋" w:cs="Times New Roman" w:hint="eastAsia"/>
                <w:sz w:val="30"/>
                <w:szCs w:val="30"/>
              </w:rPr>
              <w:t>〕</w:t>
            </w:r>
            <w:r w:rsidRPr="00BA764E">
              <w:rPr>
                <w:rFonts w:ascii="仿宋" w:eastAsia="仿宋" w:hAnsi="仿宋" w:cs="Times New Roman"/>
                <w:sz w:val="30"/>
                <w:szCs w:val="30"/>
              </w:rPr>
              <w:t>71</w:t>
            </w:r>
            <w:r w:rsidRPr="00BA764E">
              <w:rPr>
                <w:rFonts w:ascii="仿宋" w:eastAsia="仿宋" w:hAnsi="仿宋" w:cs="Times New Roman" w:hint="eastAsia"/>
                <w:sz w:val="30"/>
                <w:szCs w:val="30"/>
              </w:rPr>
              <w:t>号）文件要求，结合保护区实际，对吉林鸭绿江上游国家级自然保护区进行了优化整合，在优化整合预案中，除了对土地、耕地、交通运输用地进行了调整，也将望天鹅景区一并调整至一般控制区。2022年8月、9月，结合保护区实际及“三区三线”工作要求，对吉林鸭绿江上游国家级自然保护区再一次进行了优化整合。在此次优化整合预案中，对基本农田及稳定性耕地进行了调整，同时将保护区内现有自然景观区域调整至一般控制区，本次调整符合国家相关政策要求，符合《吉林鸭绿江上游国家级自然保护区总体规划》旅游发展规划及保护方向。目前，《吉林鸭绿江上游国家级自然保护区总体规划》（申报版）修编工作已完成，已报上级主管部门审查。</w:t>
            </w:r>
          </w:p>
          <w:p w:rsidR="00533EE0" w:rsidRPr="00BA764E" w:rsidRDefault="00533EE0" w:rsidP="00533EE0">
            <w:pPr>
              <w:adjustRightInd w:val="0"/>
              <w:snapToGrid w:val="0"/>
              <w:spacing w:line="360" w:lineRule="auto"/>
              <w:ind w:firstLineChars="200" w:firstLine="600"/>
              <w:rPr>
                <w:rFonts w:ascii="仿宋" w:eastAsia="仿宋" w:hAnsi="仿宋" w:cs="Times New Roman"/>
                <w:sz w:val="30"/>
                <w:szCs w:val="30"/>
              </w:rPr>
            </w:pPr>
            <w:r w:rsidRPr="00BA764E">
              <w:rPr>
                <w:rFonts w:ascii="仿宋" w:eastAsia="仿宋" w:hAnsi="仿宋" w:cs="仿宋" w:hint="eastAsia"/>
                <w:sz w:val="30"/>
                <w:szCs w:val="30"/>
              </w:rPr>
              <w:t>（四）</w:t>
            </w:r>
            <w:r w:rsidRPr="00BA764E">
              <w:rPr>
                <w:rFonts w:ascii="仿宋" w:eastAsia="仿宋" w:hAnsi="仿宋" w:hint="eastAsia"/>
                <w:sz w:val="30"/>
                <w:szCs w:val="30"/>
              </w:rPr>
              <w:t>吉林省环科环保技术有限公司完成</w:t>
            </w:r>
            <w:r w:rsidRPr="00BA764E">
              <w:rPr>
                <w:rFonts w:ascii="仿宋" w:eastAsia="仿宋" w:hAnsi="仿宋" w:cs="Times New Roman" w:hint="eastAsia"/>
                <w:color w:val="000000"/>
                <w:sz w:val="30"/>
                <w:szCs w:val="30"/>
              </w:rPr>
              <w:t>对</w:t>
            </w:r>
            <w:r w:rsidRPr="00BA764E">
              <w:rPr>
                <w:rFonts w:ascii="仿宋" w:eastAsia="仿宋" w:hAnsi="仿宋" w:hint="eastAsia"/>
                <w:sz w:val="30"/>
                <w:szCs w:val="30"/>
              </w:rPr>
              <w:t>缓冲区</w:t>
            </w:r>
            <w:r>
              <w:rPr>
                <w:rFonts w:ascii="仿宋" w:eastAsia="仿宋" w:hAnsi="仿宋" w:hint="eastAsia"/>
                <w:sz w:val="30"/>
                <w:szCs w:val="30"/>
              </w:rPr>
              <w:t>内开展旅游活动对生态环境造成影响进行生态评估工作，形成评估报告。12月13日召开</w:t>
            </w:r>
            <w:r>
              <w:rPr>
                <w:rFonts w:ascii="仿宋" w:eastAsia="仿宋" w:hAnsi="仿宋" w:cs="仿宋" w:hint="eastAsia"/>
                <w:sz w:val="30"/>
                <w:szCs w:val="30"/>
              </w:rPr>
              <w:t>了《吉林鸭绿江上游国家级自然保护区缓冲区旅游活动生态环境影响评估报告》技术评审会，会议聘请了5名专家组成专家组，经过评审，认为</w:t>
            </w:r>
            <w:r>
              <w:rPr>
                <w:rFonts w:ascii="Times New Roman" w:eastAsia="仿宋" w:hAnsi="Times New Roman" w:hint="eastAsia"/>
                <w:sz w:val="30"/>
                <w:szCs w:val="30"/>
              </w:rPr>
              <w:t>《评估报告》</w:t>
            </w:r>
            <w:r>
              <w:rPr>
                <w:rFonts w:ascii="Times New Roman" w:eastAsia="仿宋" w:hAnsi="Times New Roman"/>
                <w:sz w:val="30"/>
                <w:szCs w:val="30"/>
              </w:rPr>
              <w:t>基础资料详实，编制依据充分，内容全面，数据</w:t>
            </w:r>
            <w:r>
              <w:rPr>
                <w:rFonts w:ascii="Times New Roman" w:eastAsia="仿宋" w:hAnsi="Times New Roman" w:hint="eastAsia"/>
                <w:sz w:val="30"/>
                <w:szCs w:val="30"/>
              </w:rPr>
              <w:t>可靠</w:t>
            </w:r>
            <w:r>
              <w:rPr>
                <w:rFonts w:ascii="Times New Roman" w:eastAsia="仿宋" w:hAnsi="Times New Roman"/>
                <w:sz w:val="30"/>
                <w:szCs w:val="30"/>
              </w:rPr>
              <w:t>，结论可信</w:t>
            </w:r>
            <w:r>
              <w:rPr>
                <w:rFonts w:ascii="Times New Roman" w:eastAsia="仿宋" w:hAnsi="Times New Roman" w:hint="eastAsia"/>
                <w:sz w:val="30"/>
                <w:szCs w:val="30"/>
              </w:rPr>
              <w:t>，符合</w:t>
            </w:r>
            <w:r>
              <w:rPr>
                <w:rFonts w:ascii="Times New Roman" w:eastAsia="仿宋" w:hAnsi="Times New Roman"/>
                <w:sz w:val="30"/>
                <w:szCs w:val="30"/>
              </w:rPr>
              <w:t>生态环境</w:t>
            </w:r>
            <w:r>
              <w:rPr>
                <w:rFonts w:ascii="Times New Roman" w:eastAsia="仿宋" w:hAnsi="Times New Roman"/>
                <w:sz w:val="30"/>
                <w:szCs w:val="30"/>
              </w:rPr>
              <w:lastRenderedPageBreak/>
              <w:t>影响评估</w:t>
            </w:r>
            <w:r>
              <w:rPr>
                <w:rFonts w:ascii="Times New Roman" w:eastAsia="仿宋" w:hAnsi="Times New Roman" w:hint="eastAsia"/>
                <w:sz w:val="30"/>
                <w:szCs w:val="30"/>
              </w:rPr>
              <w:t>技术要求，</w:t>
            </w:r>
            <w:r>
              <w:rPr>
                <w:rFonts w:ascii="Times New Roman" w:eastAsia="仿宋" w:hAnsi="Times New Roman"/>
                <w:sz w:val="30"/>
                <w:szCs w:val="30"/>
              </w:rPr>
              <w:t>专家组一致同意通过技术评审。</w:t>
            </w:r>
          </w:p>
          <w:p w:rsidR="000D7844" w:rsidRPr="004C207A" w:rsidRDefault="00533EE0" w:rsidP="00533EE0">
            <w:pPr>
              <w:ind w:firstLineChars="200" w:firstLine="600"/>
              <w:rPr>
                <w:rFonts w:ascii="仿宋" w:eastAsia="仿宋" w:hAnsi="仿宋" w:cs="仿宋"/>
                <w:sz w:val="30"/>
                <w:szCs w:val="30"/>
              </w:rPr>
            </w:pPr>
            <w:r>
              <w:rPr>
                <w:rFonts w:ascii="仿宋" w:eastAsia="仿宋" w:hAnsi="仿宋" w:cs="仿宋" w:hint="eastAsia"/>
                <w:sz w:val="30"/>
                <w:szCs w:val="30"/>
              </w:rPr>
              <w:t>（五）</w:t>
            </w:r>
            <w:r w:rsidRPr="00F85534">
              <w:rPr>
                <w:rFonts w:ascii="仿宋" w:eastAsia="仿宋" w:hAnsi="仿宋" w:cs="仿宋" w:hint="eastAsia"/>
                <w:sz w:val="30"/>
                <w:szCs w:val="30"/>
              </w:rPr>
              <w:t>严格落实《中华人民共和国自然保护区管理条例》，严格生态红线管控，加强日常监管，在保护区核心区和缓冲区内严禁新改扩建旅游和其它设施。</w:t>
            </w:r>
          </w:p>
        </w:tc>
      </w:tr>
      <w:tr w:rsidR="000D7844" w:rsidTr="00533EE0">
        <w:trPr>
          <w:trHeight w:val="2549"/>
          <w:jc w:val="center"/>
        </w:trPr>
        <w:tc>
          <w:tcPr>
            <w:tcW w:w="1809" w:type="dxa"/>
            <w:vAlign w:val="center"/>
          </w:tcPr>
          <w:p w:rsidR="000D7844" w:rsidRDefault="00B101AB">
            <w:pPr>
              <w:jc w:val="center"/>
              <w:rPr>
                <w:sz w:val="28"/>
                <w:szCs w:val="28"/>
              </w:rPr>
            </w:pPr>
            <w:r>
              <w:rPr>
                <w:rFonts w:hint="eastAsia"/>
                <w:sz w:val="28"/>
                <w:szCs w:val="28"/>
              </w:rPr>
              <w:lastRenderedPageBreak/>
              <w:t>责任单位党政主要领导</w:t>
            </w:r>
          </w:p>
          <w:p w:rsidR="000D7844" w:rsidRDefault="00B101AB">
            <w:pPr>
              <w:jc w:val="center"/>
              <w:rPr>
                <w:sz w:val="28"/>
                <w:szCs w:val="28"/>
              </w:rPr>
            </w:pPr>
            <w:r>
              <w:rPr>
                <w:rFonts w:hint="eastAsia"/>
                <w:sz w:val="28"/>
                <w:szCs w:val="28"/>
              </w:rPr>
              <w:t>（签字）</w:t>
            </w:r>
          </w:p>
        </w:tc>
        <w:tc>
          <w:tcPr>
            <w:tcW w:w="7434" w:type="dxa"/>
          </w:tcPr>
          <w:p w:rsidR="000D7844" w:rsidRDefault="000D7844">
            <w:pPr>
              <w:rPr>
                <w:sz w:val="28"/>
                <w:szCs w:val="28"/>
              </w:rPr>
            </w:pPr>
          </w:p>
          <w:p w:rsidR="004C207A" w:rsidRDefault="004C207A" w:rsidP="00533EE0">
            <w:pPr>
              <w:ind w:right="560"/>
              <w:rPr>
                <w:sz w:val="28"/>
                <w:szCs w:val="28"/>
              </w:rPr>
            </w:pPr>
          </w:p>
          <w:p w:rsidR="000D7844" w:rsidRDefault="00B101AB" w:rsidP="00525028">
            <w:pPr>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tc>
      </w:tr>
      <w:tr w:rsidR="000D7844" w:rsidTr="00533EE0">
        <w:trPr>
          <w:trHeight w:val="1870"/>
          <w:jc w:val="center"/>
        </w:trPr>
        <w:tc>
          <w:tcPr>
            <w:tcW w:w="1809" w:type="dxa"/>
            <w:vAlign w:val="center"/>
          </w:tcPr>
          <w:p w:rsidR="000D7844" w:rsidRDefault="00B101AB">
            <w:pPr>
              <w:jc w:val="center"/>
              <w:rPr>
                <w:sz w:val="28"/>
                <w:szCs w:val="28"/>
              </w:rPr>
            </w:pPr>
            <w:r>
              <w:rPr>
                <w:rFonts w:hint="eastAsia"/>
                <w:sz w:val="28"/>
                <w:szCs w:val="28"/>
              </w:rPr>
              <w:t>主管县领导</w:t>
            </w:r>
          </w:p>
          <w:p w:rsidR="000D7844" w:rsidRDefault="00B101AB">
            <w:pPr>
              <w:jc w:val="center"/>
              <w:rPr>
                <w:sz w:val="28"/>
                <w:szCs w:val="28"/>
              </w:rPr>
            </w:pPr>
            <w:r>
              <w:rPr>
                <w:rFonts w:hint="eastAsia"/>
                <w:sz w:val="28"/>
                <w:szCs w:val="28"/>
              </w:rPr>
              <w:t>（签字）</w:t>
            </w:r>
          </w:p>
        </w:tc>
        <w:tc>
          <w:tcPr>
            <w:tcW w:w="7434" w:type="dxa"/>
          </w:tcPr>
          <w:p w:rsidR="000D7844" w:rsidRDefault="000D7844">
            <w:pPr>
              <w:rPr>
                <w:sz w:val="28"/>
                <w:szCs w:val="28"/>
              </w:rPr>
            </w:pPr>
          </w:p>
          <w:p w:rsidR="000D7844" w:rsidRDefault="000D7844">
            <w:pPr>
              <w:rPr>
                <w:sz w:val="28"/>
                <w:szCs w:val="28"/>
              </w:rPr>
            </w:pPr>
          </w:p>
          <w:p w:rsidR="004C207A" w:rsidRDefault="004C207A">
            <w:pPr>
              <w:rPr>
                <w:rFonts w:hint="eastAsia"/>
                <w:sz w:val="28"/>
                <w:szCs w:val="28"/>
              </w:rPr>
            </w:pPr>
          </w:p>
          <w:p w:rsidR="00533EE0" w:rsidRDefault="00533EE0">
            <w:pPr>
              <w:rPr>
                <w:sz w:val="28"/>
                <w:szCs w:val="28"/>
              </w:rPr>
            </w:pPr>
          </w:p>
          <w:p w:rsidR="000D7844" w:rsidRDefault="00B101AB" w:rsidP="004C207A">
            <w:pPr>
              <w:jc w:val="righ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tc>
      </w:tr>
      <w:tr w:rsidR="000D7844" w:rsidTr="00533EE0">
        <w:trPr>
          <w:trHeight w:val="102"/>
          <w:jc w:val="center"/>
        </w:trPr>
        <w:tc>
          <w:tcPr>
            <w:tcW w:w="1809" w:type="dxa"/>
            <w:vAlign w:val="center"/>
          </w:tcPr>
          <w:p w:rsidR="000D7844" w:rsidRDefault="00B101AB">
            <w:pPr>
              <w:jc w:val="center"/>
              <w:rPr>
                <w:sz w:val="28"/>
                <w:szCs w:val="28"/>
              </w:rPr>
            </w:pPr>
            <w:r>
              <w:rPr>
                <w:rFonts w:hint="eastAsia"/>
                <w:sz w:val="28"/>
                <w:szCs w:val="28"/>
              </w:rPr>
              <w:t>县党政主要领导（签字）</w:t>
            </w:r>
          </w:p>
          <w:p w:rsidR="000D7844" w:rsidRDefault="000D7844">
            <w:pPr>
              <w:jc w:val="center"/>
              <w:rPr>
                <w:sz w:val="28"/>
                <w:szCs w:val="28"/>
              </w:rPr>
            </w:pPr>
          </w:p>
        </w:tc>
        <w:tc>
          <w:tcPr>
            <w:tcW w:w="7434" w:type="dxa"/>
          </w:tcPr>
          <w:p w:rsidR="000D7844" w:rsidRDefault="000D7844">
            <w:pPr>
              <w:rPr>
                <w:sz w:val="28"/>
                <w:szCs w:val="28"/>
              </w:rPr>
            </w:pPr>
          </w:p>
          <w:p w:rsidR="00525028" w:rsidRDefault="00525028">
            <w:pPr>
              <w:rPr>
                <w:sz w:val="28"/>
                <w:szCs w:val="28"/>
              </w:rPr>
            </w:pPr>
          </w:p>
          <w:p w:rsidR="004C207A" w:rsidRDefault="00B101AB">
            <w:pPr>
              <w:rPr>
                <w:sz w:val="28"/>
                <w:szCs w:val="28"/>
              </w:rPr>
            </w:pPr>
            <w:r>
              <w:rPr>
                <w:rFonts w:hint="eastAsia"/>
                <w:sz w:val="28"/>
                <w:szCs w:val="28"/>
              </w:rPr>
              <w:t xml:space="preserve">    </w:t>
            </w:r>
          </w:p>
          <w:p w:rsidR="004C207A" w:rsidRDefault="004C207A">
            <w:pPr>
              <w:rPr>
                <w:rFonts w:hint="eastAsia"/>
                <w:sz w:val="28"/>
                <w:szCs w:val="28"/>
              </w:rPr>
            </w:pPr>
          </w:p>
          <w:p w:rsidR="00533EE0" w:rsidRDefault="00533EE0">
            <w:pPr>
              <w:rPr>
                <w:sz w:val="28"/>
                <w:szCs w:val="28"/>
              </w:rPr>
            </w:pPr>
          </w:p>
          <w:p w:rsidR="000D7844" w:rsidRDefault="00B101AB" w:rsidP="004C207A">
            <w:pPr>
              <w:jc w:val="righ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tc>
      </w:tr>
    </w:tbl>
    <w:p w:rsidR="000D7844" w:rsidRDefault="000D7844">
      <w:pPr>
        <w:rPr>
          <w:sz w:val="28"/>
          <w:szCs w:val="28"/>
        </w:rPr>
      </w:pPr>
    </w:p>
    <w:sectPr w:rsidR="000D7844" w:rsidSect="000D78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123" w:rsidRDefault="00292123" w:rsidP="00513A1F">
      <w:r>
        <w:separator/>
      </w:r>
    </w:p>
  </w:endnote>
  <w:endnote w:type="continuationSeparator" w:id="1">
    <w:p w:rsidR="00292123" w:rsidRDefault="00292123" w:rsidP="00513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123" w:rsidRDefault="00292123" w:rsidP="00513A1F">
      <w:r>
        <w:separator/>
      </w:r>
    </w:p>
  </w:footnote>
  <w:footnote w:type="continuationSeparator" w:id="1">
    <w:p w:rsidR="00292123" w:rsidRDefault="00292123" w:rsidP="00513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FA056C"/>
    <w:multiLevelType w:val="singleLevel"/>
    <w:tmpl w:val="E3FA056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YzNDNjOGJkMTk2ODE1OTcxZGI2ZmFjMGEwMTFhZTQifQ=="/>
  </w:docVars>
  <w:rsids>
    <w:rsidRoot w:val="2E121CD1"/>
    <w:rsid w:val="000D7844"/>
    <w:rsid w:val="00125C9B"/>
    <w:rsid w:val="00292123"/>
    <w:rsid w:val="003D1712"/>
    <w:rsid w:val="004C207A"/>
    <w:rsid w:val="004C4B69"/>
    <w:rsid w:val="004D2937"/>
    <w:rsid w:val="00513A1F"/>
    <w:rsid w:val="00525028"/>
    <w:rsid w:val="00533EE0"/>
    <w:rsid w:val="005B1EEA"/>
    <w:rsid w:val="00611FEA"/>
    <w:rsid w:val="00B101AB"/>
    <w:rsid w:val="00D9208A"/>
    <w:rsid w:val="00F526C3"/>
    <w:rsid w:val="2E121CD1"/>
    <w:rsid w:val="2FA0054F"/>
    <w:rsid w:val="6B485193"/>
    <w:rsid w:val="75195C22"/>
    <w:rsid w:val="7AB221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8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D78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13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13A1F"/>
    <w:rPr>
      <w:kern w:val="2"/>
      <w:sz w:val="18"/>
      <w:szCs w:val="18"/>
    </w:rPr>
  </w:style>
  <w:style w:type="paragraph" w:styleId="a5">
    <w:name w:val="footer"/>
    <w:basedOn w:val="a"/>
    <w:link w:val="Char0"/>
    <w:rsid w:val="00513A1F"/>
    <w:pPr>
      <w:tabs>
        <w:tab w:val="center" w:pos="4153"/>
        <w:tab w:val="right" w:pos="8306"/>
      </w:tabs>
      <w:snapToGrid w:val="0"/>
      <w:jc w:val="left"/>
    </w:pPr>
    <w:rPr>
      <w:sz w:val="18"/>
      <w:szCs w:val="18"/>
    </w:rPr>
  </w:style>
  <w:style w:type="character" w:customStyle="1" w:styleId="Char0">
    <w:name w:val="页脚 Char"/>
    <w:basedOn w:val="a0"/>
    <w:link w:val="a5"/>
    <w:rsid w:val="00513A1F"/>
    <w:rPr>
      <w:kern w:val="2"/>
      <w:sz w:val="18"/>
      <w:szCs w:val="18"/>
    </w:rPr>
  </w:style>
  <w:style w:type="paragraph" w:styleId="a6">
    <w:name w:val="List Paragraph"/>
    <w:basedOn w:val="a"/>
    <w:uiPriority w:val="99"/>
    <w:unhideWhenUsed/>
    <w:rsid w:val="00513A1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4</Pages>
  <Words>268</Words>
  <Characters>1531</Characters>
  <Application>Microsoft Office Word</Application>
  <DocSecurity>0</DocSecurity>
  <Lines>12</Lines>
  <Paragraphs>3</Paragraphs>
  <ScaleCrop>false</ScaleCrop>
  <Company>Microsoft</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心宽何处不桃源</dc:creator>
  <cp:lastModifiedBy>HBJ</cp:lastModifiedBy>
  <cp:revision>6</cp:revision>
  <cp:lastPrinted>2022-10-26T06:03:00Z</cp:lastPrinted>
  <dcterms:created xsi:type="dcterms:W3CDTF">2022-10-25T06:16:00Z</dcterms:created>
  <dcterms:modified xsi:type="dcterms:W3CDTF">2022-12-19T08:20:00Z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24F645FEAE9E4D0FA83EDDF26DCC8282</vt:lpwstr>
  </property>
</Properties>
</file>