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_GB2312" w:eastAsia="仿宋_GB2312"/>
          <w:b/>
          <w:bCs/>
          <w:sz w:val="32"/>
          <w:szCs w:val="32"/>
        </w:rPr>
      </w:pPr>
      <w:r>
        <w:rPr>
          <w:rFonts w:hint="eastAsia" w:ascii="仿宋_GB2312" w:eastAsia="仿宋_GB2312"/>
          <w:b/>
          <w:bCs/>
          <w:sz w:val="32"/>
          <w:szCs w:val="32"/>
        </w:rPr>
        <w:t>长白朝鲜族自治县农业农村局中央环境保护督察反馈意见整改清单（序号30）销号确认表</w:t>
      </w:r>
    </w:p>
    <w:p>
      <w:pPr>
        <w:widowControl/>
        <w:rPr>
          <w:rFonts w:eastAsia="楷体_GB2312"/>
          <w:w w:val="95"/>
          <w:sz w:val="30"/>
          <w:szCs w:val="30"/>
        </w:rPr>
      </w:pPr>
      <w:r>
        <w:rPr>
          <w:rFonts w:hint="eastAsia" w:eastAsia="楷体_GB2312"/>
          <w:w w:val="95"/>
          <w:sz w:val="30"/>
          <w:szCs w:val="30"/>
        </w:rPr>
        <w:t>填报单位（盖章）：</w:t>
      </w:r>
      <w:r>
        <w:rPr>
          <w:rFonts w:eastAsia="楷体_GB2312"/>
          <w:w w:val="95"/>
          <w:sz w:val="30"/>
          <w:szCs w:val="30"/>
        </w:rPr>
        <w:t>长白县</w:t>
      </w:r>
      <w:r>
        <w:rPr>
          <w:rFonts w:hint="eastAsia" w:eastAsia="楷体_GB2312"/>
          <w:w w:val="95"/>
          <w:sz w:val="30"/>
          <w:szCs w:val="30"/>
        </w:rPr>
        <w:t>农业农村</w:t>
      </w:r>
      <w:r>
        <w:rPr>
          <w:rFonts w:eastAsia="楷体_GB2312"/>
          <w:w w:val="95"/>
          <w:sz w:val="30"/>
          <w:szCs w:val="30"/>
        </w:rPr>
        <w:t>局</w:t>
      </w:r>
      <w:r>
        <w:rPr>
          <w:rFonts w:hint="eastAsia" w:eastAsia="楷体_GB2312"/>
          <w:w w:val="95"/>
          <w:sz w:val="30"/>
          <w:szCs w:val="30"/>
        </w:rPr>
        <w:t xml:space="preserve"> </w:t>
      </w:r>
      <w:r>
        <w:rPr>
          <w:rFonts w:hint="eastAsia" w:eastAsia="楷体_GB2312"/>
          <w:w w:val="95"/>
          <w:sz w:val="30"/>
          <w:szCs w:val="30"/>
          <w:lang w:val="en-US" w:eastAsia="zh-CN"/>
        </w:rPr>
        <w:t xml:space="preserve"> </w:t>
      </w:r>
      <w:r>
        <w:rPr>
          <w:rFonts w:hint="eastAsia" w:eastAsia="楷体_GB2312"/>
          <w:w w:val="95"/>
          <w:sz w:val="30"/>
          <w:szCs w:val="30"/>
        </w:rPr>
        <w:t>时间：2022</w:t>
      </w:r>
      <w:r>
        <w:rPr>
          <w:rFonts w:eastAsia="楷体_GB2312"/>
          <w:w w:val="95"/>
          <w:sz w:val="30"/>
          <w:szCs w:val="30"/>
        </w:rPr>
        <w:t>年</w:t>
      </w:r>
      <w:r>
        <w:rPr>
          <w:rFonts w:hint="eastAsia" w:eastAsia="楷体_GB2312"/>
          <w:w w:val="95"/>
          <w:sz w:val="30"/>
          <w:szCs w:val="30"/>
          <w:lang w:val="en-US" w:eastAsia="zh-CN"/>
        </w:rPr>
        <w:t>11</w:t>
      </w:r>
      <w:r>
        <w:rPr>
          <w:rFonts w:eastAsia="楷体_GB2312"/>
          <w:w w:val="95"/>
          <w:sz w:val="30"/>
          <w:szCs w:val="30"/>
        </w:rPr>
        <w:t>月</w:t>
      </w:r>
      <w:r>
        <w:rPr>
          <w:rFonts w:hint="eastAsia" w:eastAsia="楷体_GB2312"/>
          <w:w w:val="95"/>
          <w:sz w:val="30"/>
          <w:szCs w:val="30"/>
          <w:lang w:val="en-US" w:eastAsia="zh-CN"/>
        </w:rPr>
        <w:t>11</w:t>
      </w:r>
      <w:r>
        <w:rPr>
          <w:rFonts w:eastAsia="楷体_GB2312"/>
          <w:w w:val="95"/>
          <w:sz w:val="30"/>
          <w:szCs w:val="30"/>
        </w:rPr>
        <w:t>日</w:t>
      </w:r>
    </w:p>
    <w:tbl>
      <w:tblPr>
        <w:tblStyle w:val="2"/>
        <w:tblW w:w="878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right"/>
        </w:trPr>
        <w:tc>
          <w:tcPr>
            <w:tcW w:w="1559" w:type="dxa"/>
            <w:vAlign w:val="center"/>
          </w:tcPr>
          <w:p>
            <w:pPr>
              <w:spacing w:line="460" w:lineRule="exact"/>
              <w:jc w:val="center"/>
              <w:rPr>
                <w:rFonts w:ascii="仿宋_GB2312" w:eastAsia="仿宋_GB2312" w:cs="楷体"/>
                <w:sz w:val="28"/>
                <w:szCs w:val="28"/>
              </w:rPr>
            </w:pPr>
            <w:r>
              <w:rPr>
                <w:rFonts w:hint="eastAsia" w:ascii="仿宋_GB2312" w:eastAsia="仿宋_GB2312" w:cs="楷体"/>
                <w:sz w:val="28"/>
                <w:szCs w:val="28"/>
              </w:rPr>
              <w:t>整改任务</w:t>
            </w:r>
          </w:p>
        </w:tc>
        <w:tc>
          <w:tcPr>
            <w:tcW w:w="7229" w:type="dxa"/>
            <w:vAlign w:val="center"/>
          </w:tcPr>
          <w:p>
            <w:pPr>
              <w:spacing w:line="460" w:lineRule="exact"/>
              <w:ind w:firstLine="560" w:firstLineChars="200"/>
              <w:jc w:val="left"/>
              <w:rPr>
                <w:rFonts w:ascii="仿宋_GB2312" w:eastAsia="仿宋_GB2312" w:cs="楷体"/>
                <w:sz w:val="28"/>
                <w:szCs w:val="28"/>
              </w:rPr>
            </w:pPr>
            <w:r>
              <w:rPr>
                <w:rFonts w:hint="eastAsia" w:ascii="仿宋_GB2312" w:eastAsia="仿宋_GB2312" w:cs="楷体"/>
                <w:sz w:val="28"/>
                <w:szCs w:val="28"/>
              </w:rPr>
              <w:t>一些地方减化肥控农药数据不实。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right"/>
        </w:trPr>
        <w:tc>
          <w:tcPr>
            <w:tcW w:w="1559" w:type="dxa"/>
            <w:vAlign w:val="center"/>
          </w:tcPr>
          <w:p>
            <w:pPr>
              <w:spacing w:line="460" w:lineRule="exact"/>
              <w:jc w:val="center"/>
              <w:rPr>
                <w:rFonts w:ascii="仿宋_GB2312" w:eastAsia="仿宋_GB2312" w:cs="楷体"/>
                <w:sz w:val="28"/>
                <w:szCs w:val="28"/>
              </w:rPr>
            </w:pPr>
            <w:r>
              <w:rPr>
                <w:rFonts w:hint="eastAsia" w:ascii="仿宋_GB2312" w:eastAsia="仿宋_GB2312" w:cs="楷体"/>
                <w:sz w:val="28"/>
                <w:szCs w:val="28"/>
              </w:rPr>
              <w:t>整改目标</w:t>
            </w:r>
          </w:p>
        </w:tc>
        <w:tc>
          <w:tcPr>
            <w:tcW w:w="7229" w:type="dxa"/>
            <w:vAlign w:val="center"/>
          </w:tcPr>
          <w:p>
            <w:pPr>
              <w:widowControl/>
              <w:spacing w:line="460" w:lineRule="exact"/>
              <w:ind w:firstLine="560" w:firstLineChars="200"/>
              <w:jc w:val="left"/>
              <w:rPr>
                <w:rFonts w:ascii="仿宋_GB2312" w:eastAsia="仿宋_GB2312" w:cs="楷体"/>
                <w:sz w:val="28"/>
                <w:szCs w:val="28"/>
              </w:rPr>
            </w:pPr>
            <w:r>
              <w:rPr>
                <w:rFonts w:hint="eastAsia" w:ascii="仿宋_GB2312" w:eastAsia="仿宋_GB2312" w:cs="楷体"/>
                <w:sz w:val="28"/>
                <w:szCs w:val="28"/>
              </w:rPr>
              <w:t>全县化肥农药使用情况调查全面完成，科学用药水平得到提升，化肥减量增效工作取得实效。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4" w:hRule="atLeast"/>
          <w:jc w:val="right"/>
        </w:trPr>
        <w:tc>
          <w:tcPr>
            <w:tcW w:w="1559" w:type="dxa"/>
            <w:vAlign w:val="center"/>
          </w:tcPr>
          <w:p>
            <w:pPr>
              <w:spacing w:line="460" w:lineRule="exact"/>
              <w:jc w:val="center"/>
              <w:rPr>
                <w:rFonts w:ascii="仿宋_GB2312" w:eastAsia="仿宋_GB2312" w:cs="楷体"/>
                <w:sz w:val="28"/>
                <w:szCs w:val="28"/>
              </w:rPr>
            </w:pPr>
            <w:r>
              <w:rPr>
                <w:rFonts w:hint="eastAsia" w:ascii="仿宋_GB2312" w:eastAsia="仿宋_GB2312" w:cs="楷体"/>
                <w:sz w:val="28"/>
                <w:szCs w:val="28"/>
              </w:rPr>
              <w:t>整改措施</w:t>
            </w:r>
          </w:p>
        </w:tc>
        <w:tc>
          <w:tcPr>
            <w:tcW w:w="7229" w:type="dxa"/>
            <w:vAlign w:val="center"/>
          </w:tcPr>
          <w:p>
            <w:pPr>
              <w:spacing w:line="460" w:lineRule="exact"/>
              <w:ind w:firstLine="584" w:firstLineChars="200"/>
              <w:rPr>
                <w:rFonts w:hint="eastAsia" w:ascii="仿宋_GB2312" w:eastAsia="仿宋_GB2312" w:cs="仿宋_GB2312"/>
                <w:spacing w:val="6"/>
                <w:sz w:val="28"/>
                <w:szCs w:val="28"/>
              </w:rPr>
            </w:pPr>
            <w:r>
              <w:rPr>
                <w:rFonts w:hint="eastAsia" w:ascii="仿宋_GB2312" w:eastAsia="仿宋_GB2312" w:cs="仿宋_GB2312"/>
                <w:spacing w:val="6"/>
                <w:sz w:val="28"/>
                <w:szCs w:val="28"/>
              </w:rPr>
              <w:t>（一）2022年3月底前，县农业农村局组织各乡镇贯彻、学习《吉林省农药使用情况调查测算办法（试行）》和《吉林省化肥使用情况调查测算办法（试行）》，加强调查人员业务培训，开展农药化肥使用情况统计调查测算工作。</w:t>
            </w:r>
          </w:p>
          <w:p>
            <w:pPr>
              <w:spacing w:line="460" w:lineRule="exact"/>
              <w:ind w:firstLine="584" w:firstLineChars="200"/>
              <w:rPr>
                <w:rFonts w:hint="eastAsia" w:ascii="仿宋_GB2312" w:eastAsia="仿宋_GB2312" w:cs="仿宋_GB2312"/>
                <w:spacing w:val="6"/>
                <w:sz w:val="28"/>
                <w:szCs w:val="28"/>
              </w:rPr>
            </w:pPr>
            <w:r>
              <w:rPr>
                <w:rFonts w:hint="eastAsia" w:ascii="仿宋_GB2312" w:eastAsia="仿宋_GB2312" w:cs="仿宋_GB2312"/>
                <w:spacing w:val="6"/>
                <w:sz w:val="28"/>
                <w:szCs w:val="28"/>
              </w:rPr>
              <w:t>（二）2022年3月底前，县农业农村局根据《白山市化肥减量使用计划（2021—2025年）》，及时将任务分解到各乡镇，做好化肥减量技术指导服务。</w:t>
            </w:r>
          </w:p>
          <w:p>
            <w:pPr>
              <w:spacing w:line="460" w:lineRule="exact"/>
              <w:ind w:firstLine="584" w:firstLineChars="200"/>
              <w:rPr>
                <w:rFonts w:hint="eastAsia" w:ascii="仿宋_GB2312" w:eastAsia="仿宋_GB2312" w:cs="仿宋_GB2312"/>
                <w:spacing w:val="6"/>
                <w:sz w:val="28"/>
                <w:szCs w:val="28"/>
              </w:rPr>
            </w:pPr>
            <w:r>
              <w:rPr>
                <w:rFonts w:hint="eastAsia" w:ascii="仿宋_GB2312" w:eastAsia="仿宋_GB2312" w:cs="仿宋_GB2312"/>
                <w:spacing w:val="6"/>
                <w:sz w:val="28"/>
                <w:szCs w:val="28"/>
              </w:rPr>
              <w:t>（三）2022年8月底前，按照省、市农业农村部门要求，县农业农村局组织各乡镇完成化肥农药调查点布设工作，适时对化肥农药调查点布设情况和调查测算工作进行抽查。 强化对调查点布设情况督导调度和调查测算数据审核把关，对发现的问题进行及时指导和纠正。2022年12月底前，上报调查测算结果。</w:t>
            </w:r>
          </w:p>
          <w:p>
            <w:pPr>
              <w:keepNext w:val="0"/>
              <w:keepLines w:val="0"/>
              <w:pageBreakBefore w:val="0"/>
              <w:widowControl/>
              <w:kinsoku/>
              <w:wordWrap/>
              <w:overflowPunct/>
              <w:topLinePunct w:val="0"/>
              <w:autoSpaceDE/>
              <w:autoSpaceDN/>
              <w:bidi w:val="0"/>
              <w:adjustRightInd/>
              <w:snapToGrid/>
              <w:spacing w:line="460" w:lineRule="exact"/>
              <w:ind w:firstLine="584" w:firstLineChars="200"/>
              <w:textAlignment w:val="center"/>
              <w:rPr>
                <w:rFonts w:ascii="仿宋_GB2312" w:hAnsi="宋体" w:eastAsia="仿宋_GB2312" w:cs="仿宋_GB2312"/>
                <w:color w:val="000000"/>
                <w:sz w:val="18"/>
                <w:szCs w:val="18"/>
              </w:rPr>
            </w:pPr>
            <w:r>
              <w:rPr>
                <w:rFonts w:hint="eastAsia" w:ascii="仿宋_GB2312" w:eastAsia="仿宋_GB2312" w:cs="仿宋_GB2312"/>
                <w:spacing w:val="6"/>
                <w:sz w:val="28"/>
                <w:szCs w:val="28"/>
              </w:rPr>
              <w:t>（四）2022年12月底前，根据长白农业实际情况，开展农药减量控害工作。加强农作物病虫监测预警，为科学防治病虫、减少农药使用提供技术支撑。结合辖区内实际，大力推广病虫害绿色防控技术，重点推广生态调控、理化诱控、生物防治等绿色防控技术，组装健康栽培、植物诱集、性诱、食诱、灯诱、色诱、天敌和生物农药等减量控害技术，加大生物农药和促进作物增产、抗逆、农药减量使用的植物免疫诱导剂、植物健康产品、喷雾（桶混）助剂的推广力度，进而减少化学农药使用。各乡镇因地制宜推广适合山区的高效植保药械，替换背负式手动喷雾器，促进农药减量。加强宣传和培训工作，以新型业生产经营主体为重点，创新培训内容和培训方式，开展多层次、多元化、多方位、多内容的农药减量控害技术、科学安全用药技术培训，全面提升用药主体素质，指导农民科学用药，做到对症施药、适时施药、适量施药，驱动农药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0" w:hRule="atLeast"/>
          <w:jc w:val="right"/>
        </w:trPr>
        <w:tc>
          <w:tcPr>
            <w:tcW w:w="1559" w:type="dxa"/>
            <w:vAlign w:val="center"/>
          </w:tcPr>
          <w:p>
            <w:pPr>
              <w:spacing w:line="460" w:lineRule="exact"/>
              <w:jc w:val="center"/>
              <w:rPr>
                <w:rFonts w:ascii="仿宋_GB2312" w:eastAsia="仿宋_GB2312" w:cs="楷体"/>
                <w:sz w:val="28"/>
                <w:szCs w:val="28"/>
              </w:rPr>
            </w:pPr>
            <w:r>
              <w:rPr>
                <w:rFonts w:hint="eastAsia" w:ascii="仿宋_GB2312" w:eastAsia="仿宋_GB2312" w:cs="楷体"/>
                <w:sz w:val="28"/>
                <w:szCs w:val="28"/>
              </w:rPr>
              <w:t>整改完成</w:t>
            </w:r>
          </w:p>
          <w:p>
            <w:pPr>
              <w:spacing w:line="460" w:lineRule="exact"/>
              <w:jc w:val="center"/>
              <w:rPr>
                <w:rFonts w:ascii="仿宋_GB2312" w:eastAsia="仿宋_GB2312" w:cs="楷体"/>
                <w:sz w:val="28"/>
                <w:szCs w:val="28"/>
              </w:rPr>
            </w:pPr>
            <w:r>
              <w:rPr>
                <w:rFonts w:hint="eastAsia" w:ascii="仿宋_GB2312" w:eastAsia="仿宋_GB2312" w:cs="楷体"/>
                <w:sz w:val="28"/>
                <w:szCs w:val="28"/>
              </w:rPr>
              <w:t>情况</w:t>
            </w:r>
          </w:p>
        </w:tc>
        <w:tc>
          <w:tcPr>
            <w:tcW w:w="7229" w:type="dxa"/>
          </w:tcPr>
          <w:p>
            <w:pPr>
              <w:numPr>
                <w:ilvl w:val="0"/>
                <w:numId w:val="1"/>
              </w:numPr>
              <w:spacing w:line="460" w:lineRule="exact"/>
              <w:ind w:firstLine="584" w:firstLineChars="200"/>
              <w:rPr>
                <w:rFonts w:hint="eastAsia" w:ascii="仿宋_GB2312" w:eastAsia="仿宋_GB2312" w:cs="仿宋_GB2312"/>
                <w:spacing w:val="6"/>
                <w:sz w:val="28"/>
                <w:szCs w:val="28"/>
              </w:rPr>
            </w:pPr>
            <w:r>
              <w:rPr>
                <w:rFonts w:hint="eastAsia" w:ascii="仿宋_GB2312" w:eastAsia="仿宋_GB2312" w:cs="仿宋_GB2312"/>
                <w:spacing w:val="6"/>
                <w:sz w:val="28"/>
                <w:szCs w:val="28"/>
              </w:rPr>
              <w:t>县农业农村局已对各乡镇调查人员进行线上培训，认真贯彻学习了《吉林省农药使用情况调查测算办法（试行）》和《吉林省化肥使用情况调查测算办法（试行）》。已开展农药化肥使用情况统计调查测算工作。</w:t>
            </w:r>
          </w:p>
          <w:p>
            <w:pPr>
              <w:spacing w:line="460" w:lineRule="exact"/>
              <w:ind w:firstLine="584" w:firstLineChars="200"/>
              <w:rPr>
                <w:rFonts w:hint="eastAsia" w:ascii="仿宋_GB2312" w:eastAsia="仿宋_GB2312" w:cs="仿宋_GB2312"/>
                <w:spacing w:val="6"/>
                <w:sz w:val="28"/>
                <w:szCs w:val="28"/>
              </w:rPr>
            </w:pPr>
            <w:r>
              <w:rPr>
                <w:rFonts w:hint="eastAsia" w:ascii="仿宋_GB2312" w:eastAsia="仿宋_GB2312" w:cs="仿宋_GB2312"/>
                <w:spacing w:val="6"/>
                <w:sz w:val="28"/>
                <w:szCs w:val="28"/>
              </w:rPr>
              <w:t>（</w:t>
            </w:r>
            <w:r>
              <w:rPr>
                <w:rFonts w:hint="eastAsia" w:ascii="仿宋_GB2312" w:eastAsia="仿宋_GB2312" w:cs="仿宋_GB2312"/>
                <w:spacing w:val="6"/>
                <w:sz w:val="28"/>
                <w:szCs w:val="28"/>
                <w:lang w:eastAsia="zh-CN"/>
              </w:rPr>
              <w:t>二</w:t>
            </w:r>
            <w:r>
              <w:rPr>
                <w:rFonts w:hint="eastAsia" w:ascii="仿宋_GB2312" w:eastAsia="仿宋_GB2312" w:cs="仿宋_GB2312"/>
                <w:spacing w:val="6"/>
                <w:sz w:val="28"/>
                <w:szCs w:val="28"/>
              </w:rPr>
              <w:t>）依托省级化肥减量增效项目，根据土壤化验值和各乡镇农作物生长期制作并发放测土配方施肥卡1400份，指导农民群众树立合理科学施肥的观念，增强作物的抗逆性，减少化肥施用，达到节本增效目的。</w:t>
            </w:r>
          </w:p>
          <w:p>
            <w:pPr>
              <w:spacing w:line="460" w:lineRule="exact"/>
              <w:ind w:firstLine="584" w:firstLineChars="200"/>
              <w:rPr>
                <w:rFonts w:hint="eastAsia" w:ascii="仿宋_GB2312" w:eastAsia="仿宋_GB2312" w:cs="仿宋_GB2312"/>
                <w:spacing w:val="6"/>
                <w:sz w:val="28"/>
                <w:szCs w:val="28"/>
              </w:rPr>
            </w:pPr>
            <w:r>
              <w:rPr>
                <w:rFonts w:hint="eastAsia" w:ascii="仿宋_GB2312" w:eastAsia="仿宋_GB2312" w:cs="仿宋_GB2312"/>
                <w:spacing w:val="6"/>
                <w:sz w:val="28"/>
                <w:szCs w:val="28"/>
              </w:rPr>
              <w:t>（三）县农业农村局根据《吉林省农药使用情况调查测算办法（试行）》和《吉林省化肥使用情况调查测算办法（试行）》，完成了全县化肥农药调查点布设工作，分别选取农药使用情况调查点30户，化肥使用情况调查点79户，。并对化肥农药调查点布设情况和调查测算工作进行抽查。调查测算数据汇总后已录入全国农药械信息管理系统和全国农户施肥监测系统。</w:t>
            </w:r>
          </w:p>
          <w:p>
            <w:pPr>
              <w:spacing w:line="460" w:lineRule="exact"/>
              <w:ind w:firstLine="584" w:firstLineChars="200"/>
              <w:rPr>
                <w:rFonts w:ascii="仿宋_GB2312" w:eastAsia="仿宋_GB2312" w:cs="仿宋_GB2312"/>
                <w:spacing w:val="6"/>
                <w:sz w:val="28"/>
                <w:szCs w:val="28"/>
              </w:rPr>
            </w:pPr>
            <w:r>
              <w:rPr>
                <w:rFonts w:hint="eastAsia" w:ascii="仿宋_GB2312" w:eastAsia="仿宋_GB2312" w:cs="仿宋_GB2312"/>
                <w:spacing w:val="6"/>
                <w:sz w:val="28"/>
                <w:szCs w:val="28"/>
              </w:rPr>
              <w:t>（四）县农业农村局在全县77个行政村布设草地贪夜蛾性诱捕器462个，安装杀虫灯5台，安装太阳能智能昆虫性诱设备2套。并利用前几年建设的金华乡农作物重大病虫害监测点和马鹿沟镇万宝岗村病虫监测点，对全县农作物病虫害进行监测预警，为农民科学防治农作物病虫害，提供依据。达到精准施药，减少农药使用量。开展科学安全用药宣传、培训，大力推广农作物病虫害绿色防控技术。根据本地实际制定了各农作物病虫害防治技术方案。</w:t>
            </w:r>
          </w:p>
          <w:p>
            <w:pPr>
              <w:spacing w:line="460" w:lineRule="exact"/>
              <w:ind w:firstLine="584" w:firstLineChars="200"/>
              <w:rPr>
                <w:rFonts w:ascii="仿宋_GB2312" w:eastAsia="仿宋_GB2312" w:cs="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right"/>
        </w:trPr>
        <w:tc>
          <w:tcPr>
            <w:tcW w:w="1559" w:type="dxa"/>
            <w:vAlign w:val="center"/>
          </w:tcPr>
          <w:p>
            <w:pPr>
              <w:spacing w:line="460" w:lineRule="exact"/>
              <w:jc w:val="center"/>
              <w:rPr>
                <w:rFonts w:ascii="仿宋_GB2312" w:eastAsia="仿宋_GB2312" w:cs="楷体"/>
                <w:sz w:val="28"/>
                <w:szCs w:val="28"/>
              </w:rPr>
            </w:pPr>
            <w:r>
              <w:rPr>
                <w:rFonts w:hint="eastAsia" w:ascii="仿宋_GB2312" w:eastAsia="仿宋_GB2312" w:cs="楷体"/>
                <w:sz w:val="28"/>
                <w:szCs w:val="28"/>
              </w:rPr>
              <w:t>责任单位</w:t>
            </w:r>
          </w:p>
          <w:p>
            <w:pPr>
              <w:spacing w:line="460" w:lineRule="exact"/>
              <w:jc w:val="center"/>
              <w:rPr>
                <w:rFonts w:ascii="仿宋_GB2312" w:eastAsia="仿宋_GB2312" w:cs="楷体"/>
                <w:sz w:val="28"/>
                <w:szCs w:val="28"/>
              </w:rPr>
            </w:pPr>
            <w:r>
              <w:rPr>
                <w:rFonts w:hint="eastAsia" w:ascii="仿宋_GB2312" w:eastAsia="仿宋_GB2312" w:cs="楷体"/>
                <w:sz w:val="28"/>
                <w:szCs w:val="28"/>
              </w:rPr>
              <w:t>党政主要</w:t>
            </w:r>
          </w:p>
          <w:p>
            <w:pPr>
              <w:spacing w:line="460" w:lineRule="exact"/>
              <w:jc w:val="center"/>
              <w:rPr>
                <w:rFonts w:ascii="仿宋_GB2312" w:eastAsia="仿宋_GB2312" w:cs="楷体"/>
                <w:sz w:val="28"/>
                <w:szCs w:val="28"/>
              </w:rPr>
            </w:pPr>
            <w:r>
              <w:rPr>
                <w:rFonts w:hint="eastAsia" w:ascii="仿宋_GB2312" w:eastAsia="仿宋_GB2312" w:cs="楷体"/>
                <w:sz w:val="28"/>
                <w:szCs w:val="28"/>
              </w:rPr>
              <w:t>领导</w:t>
            </w:r>
          </w:p>
          <w:p>
            <w:pPr>
              <w:spacing w:line="460" w:lineRule="exact"/>
              <w:jc w:val="center"/>
              <w:rPr>
                <w:rFonts w:ascii="仿宋_GB2312" w:eastAsia="仿宋_GB2312" w:cs="楷体"/>
                <w:sz w:val="28"/>
                <w:szCs w:val="28"/>
              </w:rPr>
            </w:pPr>
            <w:r>
              <w:rPr>
                <w:rFonts w:hint="eastAsia" w:ascii="仿宋_GB2312" w:eastAsia="仿宋_GB2312" w:cs="楷体"/>
                <w:sz w:val="28"/>
                <w:szCs w:val="28"/>
              </w:rPr>
              <w:t>（签字）</w:t>
            </w:r>
          </w:p>
        </w:tc>
        <w:tc>
          <w:tcPr>
            <w:tcW w:w="7229" w:type="dxa"/>
            <w:vAlign w:val="center"/>
          </w:tcPr>
          <w:p>
            <w:pPr>
              <w:spacing w:line="460" w:lineRule="exact"/>
              <w:jc w:val="center"/>
              <w:rPr>
                <w:rFonts w:ascii="仿宋_GB2312" w:eastAsia="仿宋_GB2312" w:cs="楷体"/>
                <w:sz w:val="28"/>
                <w:szCs w:val="28"/>
              </w:rPr>
            </w:pPr>
          </w:p>
          <w:p>
            <w:pPr>
              <w:spacing w:line="460" w:lineRule="exact"/>
              <w:jc w:val="center"/>
              <w:rPr>
                <w:rFonts w:ascii="仿宋_GB2312" w:eastAsia="仿宋_GB2312" w:cs="楷体"/>
                <w:sz w:val="28"/>
                <w:szCs w:val="28"/>
              </w:rPr>
            </w:pPr>
          </w:p>
          <w:p>
            <w:pPr>
              <w:spacing w:line="460" w:lineRule="exact"/>
              <w:jc w:val="center"/>
              <w:rPr>
                <w:rFonts w:ascii="仿宋_GB2312" w:eastAsia="仿宋_GB2312" w:cs="楷体"/>
                <w:sz w:val="28"/>
                <w:szCs w:val="28"/>
              </w:rPr>
            </w:pPr>
            <w:r>
              <w:rPr>
                <w:rFonts w:hint="eastAsia" w:ascii="仿宋_GB2312" w:eastAsia="仿宋_GB2312" w:cs="楷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right"/>
        </w:trPr>
        <w:tc>
          <w:tcPr>
            <w:tcW w:w="1559" w:type="dxa"/>
            <w:vAlign w:val="center"/>
          </w:tcPr>
          <w:p>
            <w:pPr>
              <w:spacing w:line="460" w:lineRule="exact"/>
              <w:jc w:val="center"/>
              <w:rPr>
                <w:rFonts w:ascii="仿宋_GB2312" w:eastAsia="仿宋_GB2312" w:cs="楷体"/>
                <w:sz w:val="28"/>
                <w:szCs w:val="28"/>
              </w:rPr>
            </w:pPr>
            <w:r>
              <w:rPr>
                <w:rFonts w:hint="eastAsia" w:ascii="仿宋_GB2312" w:eastAsia="仿宋_GB2312" w:cs="楷体"/>
                <w:sz w:val="28"/>
                <w:szCs w:val="28"/>
              </w:rPr>
              <w:t>主管县领导（签字）</w:t>
            </w:r>
          </w:p>
        </w:tc>
        <w:tc>
          <w:tcPr>
            <w:tcW w:w="7229" w:type="dxa"/>
            <w:vAlign w:val="center"/>
          </w:tcPr>
          <w:p>
            <w:pPr>
              <w:spacing w:line="460" w:lineRule="exact"/>
              <w:jc w:val="center"/>
              <w:rPr>
                <w:rFonts w:ascii="仿宋_GB2312" w:eastAsia="仿宋_GB2312" w:cs="楷体"/>
                <w:sz w:val="28"/>
                <w:szCs w:val="28"/>
              </w:rPr>
            </w:pPr>
          </w:p>
          <w:p>
            <w:pPr>
              <w:spacing w:line="460" w:lineRule="exact"/>
              <w:jc w:val="center"/>
              <w:rPr>
                <w:rFonts w:ascii="仿宋_GB2312" w:eastAsia="仿宋_GB2312" w:cs="楷体"/>
                <w:sz w:val="28"/>
                <w:szCs w:val="28"/>
              </w:rPr>
            </w:pPr>
          </w:p>
          <w:p>
            <w:pPr>
              <w:spacing w:line="460" w:lineRule="exact"/>
              <w:jc w:val="center"/>
              <w:rPr>
                <w:rFonts w:ascii="仿宋_GB2312" w:eastAsia="仿宋_GB2312" w:cs="楷体"/>
                <w:sz w:val="28"/>
                <w:szCs w:val="28"/>
              </w:rPr>
            </w:pPr>
            <w:r>
              <w:rPr>
                <w:rFonts w:hint="eastAsia" w:ascii="仿宋_GB2312" w:eastAsia="仿宋_GB2312" w:cs="楷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jc w:val="right"/>
        </w:trPr>
        <w:tc>
          <w:tcPr>
            <w:tcW w:w="1559" w:type="dxa"/>
            <w:vAlign w:val="center"/>
          </w:tcPr>
          <w:p>
            <w:pPr>
              <w:spacing w:line="460" w:lineRule="exact"/>
              <w:jc w:val="center"/>
              <w:rPr>
                <w:rFonts w:ascii="仿宋_GB2312" w:eastAsia="仿宋_GB2312" w:cs="楷体"/>
                <w:sz w:val="28"/>
                <w:szCs w:val="28"/>
              </w:rPr>
            </w:pPr>
            <w:r>
              <w:rPr>
                <w:rFonts w:hint="eastAsia" w:ascii="仿宋_GB2312" w:eastAsia="仿宋_GB2312" w:cs="楷体"/>
                <w:sz w:val="28"/>
                <w:szCs w:val="28"/>
              </w:rPr>
              <w:t>县党政</w:t>
            </w:r>
          </w:p>
          <w:p>
            <w:pPr>
              <w:spacing w:line="460" w:lineRule="exact"/>
              <w:jc w:val="center"/>
              <w:rPr>
                <w:rFonts w:hint="eastAsia" w:ascii="仿宋_GB2312" w:eastAsia="仿宋_GB2312" w:cs="楷体"/>
                <w:sz w:val="28"/>
                <w:szCs w:val="28"/>
              </w:rPr>
            </w:pPr>
            <w:r>
              <w:rPr>
                <w:rFonts w:hint="eastAsia" w:ascii="仿宋_GB2312" w:eastAsia="仿宋_GB2312" w:cs="楷体"/>
                <w:sz w:val="28"/>
                <w:szCs w:val="28"/>
              </w:rPr>
              <w:t>主要</w:t>
            </w:r>
          </w:p>
          <w:p>
            <w:pPr>
              <w:spacing w:line="460" w:lineRule="exact"/>
              <w:jc w:val="center"/>
              <w:rPr>
                <w:rFonts w:ascii="仿宋_GB2312" w:eastAsia="仿宋_GB2312" w:cs="楷体"/>
                <w:sz w:val="28"/>
                <w:szCs w:val="28"/>
              </w:rPr>
            </w:pPr>
            <w:r>
              <w:rPr>
                <w:rFonts w:hint="eastAsia" w:ascii="仿宋_GB2312" w:eastAsia="仿宋_GB2312" w:cs="楷体"/>
                <w:sz w:val="28"/>
                <w:szCs w:val="28"/>
              </w:rPr>
              <w:t>领导</w:t>
            </w:r>
          </w:p>
          <w:p>
            <w:pPr>
              <w:spacing w:line="460" w:lineRule="exact"/>
              <w:jc w:val="center"/>
              <w:rPr>
                <w:rFonts w:hint="eastAsia" w:ascii="仿宋_GB2312" w:eastAsia="仿宋_GB2312" w:cs="楷体"/>
                <w:sz w:val="28"/>
                <w:szCs w:val="28"/>
              </w:rPr>
            </w:pPr>
            <w:r>
              <w:rPr>
                <w:rFonts w:hint="eastAsia" w:ascii="仿宋_GB2312" w:eastAsia="仿宋_GB2312" w:cs="楷体"/>
                <w:sz w:val="28"/>
                <w:szCs w:val="28"/>
              </w:rPr>
              <w:t>（签字）</w:t>
            </w:r>
          </w:p>
        </w:tc>
        <w:tc>
          <w:tcPr>
            <w:tcW w:w="7229" w:type="dxa"/>
            <w:vAlign w:val="center"/>
          </w:tcPr>
          <w:p>
            <w:pPr>
              <w:spacing w:line="460" w:lineRule="exact"/>
              <w:jc w:val="center"/>
              <w:rPr>
                <w:rFonts w:hint="eastAsia" w:ascii="仿宋_GB2312" w:eastAsia="仿宋_GB2312" w:cs="楷体"/>
                <w:sz w:val="28"/>
                <w:szCs w:val="28"/>
              </w:rPr>
            </w:pPr>
          </w:p>
          <w:p>
            <w:pPr>
              <w:spacing w:line="460" w:lineRule="exact"/>
              <w:jc w:val="center"/>
              <w:rPr>
                <w:rFonts w:hint="eastAsia" w:ascii="仿宋_GB2312" w:eastAsia="仿宋_GB2312" w:cs="楷体"/>
                <w:sz w:val="28"/>
                <w:szCs w:val="28"/>
              </w:rPr>
            </w:pPr>
          </w:p>
          <w:p>
            <w:pPr>
              <w:spacing w:line="460" w:lineRule="exact"/>
              <w:jc w:val="center"/>
              <w:rPr>
                <w:rFonts w:hint="eastAsia" w:ascii="仿宋_GB2312" w:eastAsia="仿宋_GB2312" w:cs="楷体"/>
                <w:sz w:val="28"/>
                <w:szCs w:val="28"/>
              </w:rPr>
            </w:pPr>
            <w:r>
              <w:rPr>
                <w:rFonts w:hint="eastAsia" w:ascii="仿宋_GB2312" w:eastAsia="仿宋_GB2312" w:cs="楷体"/>
                <w:sz w:val="28"/>
                <w:szCs w:val="28"/>
              </w:rPr>
              <w:t xml:space="preserve">                            年   月    日</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4CC61"/>
    <w:multiLevelType w:val="singleLevel"/>
    <w:tmpl w:val="E4D4CC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NTE1MTFmMjNiOTNlOTgyMjZmNTEzOGE4NjUyN2YifQ=="/>
  </w:docVars>
  <w:rsids>
    <w:rsidRoot w:val="00000000"/>
    <w:rsid w:val="3A777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2022-11-11T08:21:24Z</dcterms:created>
  <dc:creator>Administrator</dc:creator>
  <cp:lastModifiedBy>Administrator</cp:lastModifiedBy>
  <dcterms:modified xsi:type="dcterms:W3CDTF">2022-11-11T08:21:27Z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DA0EBAA3C1454D6587C9138CF81C43D6</vt:lpwstr>
  </property>
</Properties>
</file>